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9DA69">
      <w:pPr>
        <w:spacing w:before="120" w:after="120" w:line="480" w:lineRule="auto"/>
        <w:rPr>
          <w:rFonts w:eastAsia="黑体"/>
          <w:b/>
          <w:bCs/>
          <w:sz w:val="48"/>
          <w:szCs w:val="48"/>
        </w:rPr>
      </w:pPr>
    </w:p>
    <w:p w14:paraId="63166F7F">
      <w:pPr>
        <w:spacing w:before="120" w:after="120" w:line="48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部门整体支出绩效评价报告</w:t>
      </w:r>
    </w:p>
    <w:p w14:paraId="620EA69F">
      <w:pPr>
        <w:widowControl/>
        <w:spacing w:before="120" w:after="120" w:line="480" w:lineRule="auto"/>
        <w:jc w:val="center"/>
        <w:rPr>
          <w:rFonts w:ascii="方正小标宋简体" w:hAnsi="方正小标宋简体" w:eastAsia="方正小标宋简体" w:cs="方正小标宋简体"/>
          <w:kern w:val="0"/>
          <w:sz w:val="44"/>
          <w:szCs w:val="44"/>
          <w:lang w:bidi="en-US"/>
        </w:rPr>
      </w:pPr>
    </w:p>
    <w:p w14:paraId="4D49EBCD">
      <w:pPr>
        <w:widowControl/>
        <w:spacing w:before="120" w:after="120" w:line="480" w:lineRule="auto"/>
        <w:jc w:val="center"/>
        <w:rPr>
          <w:rFonts w:eastAsia="黑体"/>
          <w:b/>
          <w:kern w:val="0"/>
          <w:sz w:val="44"/>
          <w:szCs w:val="44"/>
          <w:lang w:bidi="en-US"/>
        </w:rPr>
      </w:pPr>
    </w:p>
    <w:p w14:paraId="59437CAD">
      <w:pPr>
        <w:widowControl/>
        <w:spacing w:before="120" w:after="120" w:line="480" w:lineRule="auto"/>
        <w:jc w:val="center"/>
        <w:rPr>
          <w:rFonts w:eastAsia="黑体"/>
          <w:b/>
          <w:kern w:val="0"/>
          <w:sz w:val="44"/>
          <w:szCs w:val="44"/>
          <w:lang w:bidi="en-US"/>
        </w:rPr>
      </w:pPr>
    </w:p>
    <w:p w14:paraId="752A03E1">
      <w:pPr>
        <w:pStyle w:val="6"/>
        <w:ind w:left="640"/>
        <w:rPr>
          <w:lang w:bidi="en-US"/>
        </w:rPr>
      </w:pPr>
    </w:p>
    <w:p w14:paraId="6727D704">
      <w:pPr>
        <w:pStyle w:val="4"/>
        <w:rPr>
          <w:lang w:bidi="en-US"/>
        </w:rPr>
      </w:pPr>
    </w:p>
    <w:p w14:paraId="12C54DD9">
      <w:pPr>
        <w:pStyle w:val="4"/>
        <w:rPr>
          <w:lang w:bidi="en-US"/>
        </w:rPr>
      </w:pPr>
    </w:p>
    <w:p w14:paraId="72550D95">
      <w:pPr>
        <w:pStyle w:val="4"/>
        <w:rPr>
          <w:lang w:bidi="en-US"/>
        </w:rPr>
      </w:pPr>
    </w:p>
    <w:p w14:paraId="36543C29">
      <w:pPr>
        <w:pStyle w:val="4"/>
        <w:rPr>
          <w:lang w:bidi="en-US"/>
        </w:rPr>
      </w:pPr>
    </w:p>
    <w:p w14:paraId="24E68047">
      <w:pPr>
        <w:widowControl/>
        <w:spacing w:before="120" w:after="120"/>
        <w:rPr>
          <w:rFonts w:eastAsia="黑体"/>
          <w:b/>
          <w:kern w:val="0"/>
          <w:szCs w:val="28"/>
          <w:lang w:bidi="en-US"/>
        </w:rPr>
      </w:pPr>
    </w:p>
    <w:p w14:paraId="0108E4B5">
      <w:pPr>
        <w:widowControl/>
        <w:spacing w:before="120" w:line="240" w:lineRule="auto"/>
        <w:jc w:val="left"/>
        <w:rPr>
          <w:rFonts w:eastAsia="黑体"/>
          <w:b/>
          <w:kern w:val="0"/>
          <w:szCs w:val="28"/>
          <w:lang w:bidi="en-US"/>
        </w:rPr>
      </w:pPr>
    </w:p>
    <w:p w14:paraId="68F21525">
      <w:pPr>
        <w:widowControl/>
        <w:spacing w:before="120" w:line="240" w:lineRule="auto"/>
        <w:ind w:firstLine="1606" w:firstLineChars="500"/>
        <w:jc w:val="left"/>
        <w:rPr>
          <w:rFonts w:hint="default" w:asciiTheme="minorEastAsia" w:hAnsiTheme="minorEastAsia" w:eastAsiaTheme="minorEastAsia" w:cstheme="minorEastAsia"/>
          <w:b/>
          <w:bCs/>
          <w:kern w:val="0"/>
          <w:szCs w:val="32"/>
          <w:lang w:val="en-US" w:eastAsia="zh-CN" w:bidi="en-US"/>
        </w:rPr>
      </w:pPr>
      <w:r>
        <w:rPr>
          <w:rFonts w:hint="eastAsia" w:asciiTheme="minorEastAsia" w:hAnsiTheme="minorEastAsia" w:eastAsiaTheme="minorEastAsia" w:cstheme="minorEastAsia"/>
          <w:b/>
          <w:bCs/>
          <w:kern w:val="0"/>
          <w:szCs w:val="32"/>
          <w:lang w:bidi="en-US"/>
        </w:rPr>
        <w:t>部门（单位）：临泽县</w:t>
      </w:r>
      <w:r>
        <w:rPr>
          <w:rFonts w:hint="eastAsia" w:asciiTheme="minorEastAsia" w:hAnsiTheme="minorEastAsia" w:eastAsiaTheme="minorEastAsia" w:cstheme="minorEastAsia"/>
          <w:b/>
          <w:bCs/>
          <w:kern w:val="0"/>
          <w:szCs w:val="32"/>
          <w:lang w:val="en-US" w:eastAsia="zh-CN" w:bidi="en-US"/>
        </w:rPr>
        <w:t>机关事务中心</w:t>
      </w:r>
    </w:p>
    <w:p w14:paraId="65DD979A">
      <w:pPr>
        <w:widowControl/>
        <w:spacing w:before="120" w:line="240" w:lineRule="auto"/>
        <w:ind w:firstLine="3855" w:firstLineChars="1200"/>
        <w:jc w:val="left"/>
        <w:rPr>
          <w:rFonts w:asciiTheme="minorEastAsia" w:hAnsiTheme="minorEastAsia" w:eastAsiaTheme="minorEastAsia" w:cstheme="minorEastAsia"/>
          <w:b/>
          <w:bCs/>
          <w:szCs w:val="32"/>
        </w:rPr>
      </w:pPr>
    </w:p>
    <w:p w14:paraId="3B86D2EE">
      <w:pPr>
        <w:widowControl/>
        <w:spacing w:before="120" w:line="240" w:lineRule="auto"/>
        <w:ind w:firstLine="3855" w:firstLineChars="1200"/>
        <w:jc w:val="left"/>
        <w:rPr>
          <w:rFonts w:asciiTheme="minorEastAsia" w:hAnsiTheme="minorEastAsia" w:eastAsiaTheme="minorEastAsia" w:cstheme="minorEastAsia"/>
          <w:b/>
          <w:bCs/>
          <w:szCs w:val="32"/>
        </w:rPr>
      </w:pPr>
    </w:p>
    <w:p w14:paraId="393BE33B">
      <w:pPr>
        <w:widowControl/>
        <w:spacing w:before="120" w:line="240" w:lineRule="auto"/>
        <w:ind w:firstLine="3855" w:firstLineChars="1200"/>
        <w:jc w:val="left"/>
        <w:rPr>
          <w:rFonts w:asciiTheme="minorEastAsia" w:hAnsiTheme="minorEastAsia" w:eastAsiaTheme="minorEastAsia" w:cstheme="minorEastAsia"/>
          <w:b/>
          <w:bCs/>
          <w:szCs w:val="32"/>
        </w:rPr>
      </w:pPr>
      <w:r>
        <w:rPr>
          <w:rFonts w:hint="eastAsia" w:asciiTheme="minorEastAsia" w:hAnsiTheme="minorEastAsia" w:eastAsiaTheme="minorEastAsia" w:cstheme="minorEastAsia"/>
          <w:b/>
          <w:bCs/>
          <w:szCs w:val="32"/>
        </w:rPr>
        <w:t>2024年9月</w:t>
      </w:r>
    </w:p>
    <w:p w14:paraId="0CBE35DC">
      <w:pPr>
        <w:pStyle w:val="19"/>
        <w:adjustRightInd w:val="0"/>
        <w:snapToGrid w:val="0"/>
        <w:spacing w:before="0" w:after="0"/>
        <w:outlineLvl w:val="9"/>
        <w:rPr>
          <w:rFonts w:ascii="方正小标宋简体" w:hAnsi="仿宋" w:eastAsia="方正小标宋简体"/>
          <w:sz w:val="36"/>
          <w:szCs w:val="36"/>
        </w:rPr>
        <w:sectPr>
          <w:headerReference r:id="rId5" w:type="default"/>
          <w:footerReference r:id="rId6" w:type="default"/>
          <w:pgSz w:w="11906" w:h="16838"/>
          <w:pgMar w:top="2154" w:right="1531" w:bottom="1587" w:left="1587" w:header="851" w:footer="1417" w:gutter="0"/>
          <w:pgNumType w:start="4"/>
          <w:cols w:space="0" w:num="1"/>
          <w:docGrid w:type="lines" w:linePitch="436" w:charSpace="0"/>
        </w:sectPr>
      </w:pPr>
    </w:p>
    <w:p w14:paraId="39D7AA19">
      <w:pPr>
        <w:pStyle w:val="19"/>
        <w:adjustRightInd w:val="0"/>
        <w:snapToGrid w:val="0"/>
        <w:spacing w:before="0" w:after="0"/>
        <w:outlineLvl w:val="9"/>
        <w:rPr>
          <w:rFonts w:ascii="方正小标宋简体" w:hAnsi="仿宋" w:eastAsia="方正小标宋简体"/>
          <w:sz w:val="36"/>
          <w:szCs w:val="36"/>
        </w:rPr>
      </w:pPr>
    </w:p>
    <w:p w14:paraId="2E8BD86E">
      <w:pPr>
        <w:pStyle w:val="19"/>
        <w:adjustRightInd w:val="0"/>
        <w:snapToGrid w:val="0"/>
        <w:spacing w:before="0" w:after="0"/>
        <w:outlineLvl w:val="9"/>
        <w:rPr>
          <w:rFonts w:hint="default" w:ascii="方正小标宋简体" w:hAnsi="仿宋" w:eastAsia="方正小标宋简体"/>
          <w:sz w:val="36"/>
          <w:szCs w:val="36"/>
          <w:lang w:val="en-US" w:eastAsia="zh-CN"/>
        </w:rPr>
      </w:pPr>
      <w:r>
        <w:rPr>
          <w:rFonts w:hint="eastAsia" w:ascii="方正小标宋简体" w:hAnsi="仿宋" w:eastAsia="方正小标宋简体"/>
          <w:sz w:val="36"/>
          <w:szCs w:val="36"/>
        </w:rPr>
        <w:t>临泽县</w:t>
      </w:r>
      <w:r>
        <w:rPr>
          <w:rFonts w:hint="eastAsia" w:ascii="方正小标宋简体" w:hAnsi="仿宋" w:eastAsia="方正小标宋简体"/>
          <w:sz w:val="36"/>
          <w:szCs w:val="36"/>
          <w:lang w:val="en-US" w:eastAsia="zh-CN"/>
        </w:rPr>
        <w:t>机关事务中心</w:t>
      </w:r>
    </w:p>
    <w:p w14:paraId="52581449">
      <w:pPr>
        <w:pStyle w:val="19"/>
        <w:adjustRightInd w:val="0"/>
        <w:snapToGrid w:val="0"/>
        <w:spacing w:before="0" w:after="0"/>
        <w:outlineLvl w:val="9"/>
        <w:rPr>
          <w:rFonts w:ascii="方正小标宋简体" w:hAnsi="仿宋" w:eastAsia="方正小标宋简体"/>
          <w:sz w:val="36"/>
          <w:szCs w:val="36"/>
        </w:rPr>
      </w:pPr>
      <w:r>
        <w:rPr>
          <w:rFonts w:hint="eastAsia" w:ascii="方正小标宋简体" w:hAnsi="仿宋" w:eastAsia="方正小标宋简体"/>
          <w:sz w:val="36"/>
          <w:szCs w:val="36"/>
        </w:rPr>
        <w:t>（部门）整体支出绩效评价报告</w:t>
      </w:r>
    </w:p>
    <w:p w14:paraId="09CC73CA">
      <w:pPr>
        <w:adjustRightInd w:val="0"/>
        <w:snapToGrid w:val="0"/>
        <w:spacing w:line="540" w:lineRule="atLeast"/>
        <w:ind w:firstLine="643" w:firstLineChars="200"/>
        <w:rPr>
          <w:rFonts w:ascii="黑体" w:hAnsi="黑体" w:eastAsia="黑体" w:cs="黑体"/>
          <w:b/>
          <w:szCs w:val="32"/>
        </w:rPr>
      </w:pPr>
      <w:r>
        <w:rPr>
          <w:rFonts w:hint="eastAsia" w:ascii="黑体" w:hAnsi="黑体" w:eastAsia="黑体" w:cs="黑体"/>
          <w:b/>
          <w:szCs w:val="32"/>
        </w:rPr>
        <w:t>一、部门概况</w:t>
      </w:r>
    </w:p>
    <w:p w14:paraId="7F93D6ED">
      <w:pPr>
        <w:pStyle w:val="5"/>
        <w:rPr>
          <w:rFonts w:hint="eastAsia" w:eastAsia="仿宋_GB2312"/>
          <w:lang w:eastAsia="zh-CN"/>
        </w:rPr>
      </w:pPr>
      <w:r>
        <w:rPr>
          <w:rFonts w:hint="eastAsia"/>
        </w:rPr>
        <w:t>（一）机构职能</w:t>
      </w:r>
      <w:r>
        <w:rPr>
          <w:rFonts w:hint="eastAsia"/>
          <w:lang w:eastAsia="zh-CN"/>
        </w:rPr>
        <w:t>：</w:t>
      </w:r>
    </w:p>
    <w:p w14:paraId="03CB81DE">
      <w:pPr>
        <w:widowControl/>
        <w:spacing w:line="56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主要负责机关综合办公楼院的管理与维护及后勤保障服务工作；负责为各部门单位公务活动提供用车服务。</w:t>
      </w:r>
    </w:p>
    <w:p w14:paraId="7B00F134">
      <w:pPr>
        <w:widowControl/>
        <w:spacing w:line="560" w:lineRule="exact"/>
        <w:ind w:firstLine="56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公共机构节能管理工作。制定完善节约型公共机构示范单位创建活动实施方案，积极做好创建国家级节约型公共机构示范单位。</w:t>
      </w:r>
    </w:p>
    <w:p w14:paraId="03F28F84">
      <w:pPr>
        <w:widowControl/>
        <w:spacing w:line="560" w:lineRule="exact"/>
        <w:ind w:firstLine="56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机关大院安保服务。加强消防设施和监控网络建设，形成了人防、物防、技防三结合全方位的安保体系。全力做好信访人员的疏导和劝解工作，积极做好防火、防盗等工作。加强车辆进出、停放管理，严禁乱停乱放，确保进出车辆行驶安全，规范院内的交通秩序。</w:t>
      </w:r>
    </w:p>
    <w:p w14:paraId="30B5BAD2">
      <w:pPr>
        <w:widowControl/>
        <w:spacing w:line="560" w:lineRule="exact"/>
        <w:ind w:firstLine="56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机关办公环境美化优化。致力于机关综合办公楼硬件设施条件的配套完善，加大机关综合办公楼设施改造力度。不断改善办公人居环境，院容院貌，有效提升服务能力，进一步促使机关大院环境优美、安全卫生、文明有序。</w:t>
      </w:r>
    </w:p>
    <w:p w14:paraId="62464C71">
      <w:pPr>
        <w:widowControl/>
        <w:spacing w:line="560" w:lineRule="exact"/>
        <w:ind w:firstLine="56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重大会议服务。制定严格的设施设备操作规范和会议运转流程，确保全县重大会议如期顺利圆满召开。</w:t>
      </w:r>
    </w:p>
    <w:p w14:paraId="4DB8D6FA">
      <w:pPr>
        <w:widowControl/>
        <w:spacing w:line="560" w:lineRule="exact"/>
        <w:ind w:firstLine="56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后勤服务工作。认真细致抓好服务管理和后勤保障工作，进一步建立完善政府大院绿化、保洁、餐饮等服务项目管理。</w:t>
      </w:r>
    </w:p>
    <w:p w14:paraId="7BFF60DF">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150" w:right="150" w:firstLine="420"/>
        <w:jc w:val="both"/>
        <w:rPr>
          <w:rFonts w:hint="eastAsia" w:ascii="楷体_GB2312" w:hAnsi="楷体_GB2312" w:eastAsia="楷体_GB2312" w:cs="楷体_GB2312"/>
          <w:i w:val="0"/>
          <w:iCs w:val="0"/>
          <w:caps w:val="0"/>
          <w:color w:val="auto"/>
          <w:spacing w:val="0"/>
          <w:sz w:val="32"/>
          <w:szCs w:val="32"/>
        </w:rPr>
      </w:pPr>
      <w:r>
        <w:rPr>
          <w:rFonts w:hint="eastAsia" w:ascii="楷体_GB2312" w:hAnsi="楷体_GB2312" w:eastAsia="楷体_GB2312" w:cs="楷体_GB2312"/>
          <w:i w:val="0"/>
          <w:iCs w:val="0"/>
          <w:caps w:val="0"/>
          <w:color w:val="auto"/>
          <w:spacing w:val="0"/>
          <w:sz w:val="32"/>
          <w:szCs w:val="32"/>
          <w:shd w:val="clear" w:fill="FFFFFF"/>
          <w:lang w:eastAsia="zh-CN"/>
        </w:rPr>
        <w:t>（</w:t>
      </w:r>
      <w:r>
        <w:rPr>
          <w:rFonts w:hint="eastAsia" w:ascii="楷体_GB2312" w:hAnsi="楷体_GB2312" w:eastAsia="楷体_GB2312" w:cs="楷体_GB2312"/>
          <w:i w:val="0"/>
          <w:iCs w:val="0"/>
          <w:caps w:val="0"/>
          <w:color w:val="auto"/>
          <w:spacing w:val="0"/>
          <w:sz w:val="32"/>
          <w:szCs w:val="32"/>
          <w:shd w:val="clear" w:fill="FFFFFF"/>
          <w:lang w:val="en-US" w:eastAsia="zh-CN"/>
        </w:rPr>
        <w:t>二</w:t>
      </w:r>
      <w:r>
        <w:rPr>
          <w:rFonts w:hint="eastAsia" w:ascii="楷体_GB2312" w:hAnsi="楷体_GB2312" w:eastAsia="楷体_GB2312" w:cs="楷体_GB2312"/>
          <w:i w:val="0"/>
          <w:iCs w:val="0"/>
          <w:caps w:val="0"/>
          <w:color w:val="auto"/>
          <w:spacing w:val="0"/>
          <w:sz w:val="32"/>
          <w:szCs w:val="32"/>
          <w:shd w:val="clear" w:fill="FFFFFF"/>
          <w:lang w:eastAsia="zh-CN"/>
        </w:rPr>
        <w:t>）</w:t>
      </w:r>
      <w:r>
        <w:rPr>
          <w:rFonts w:hint="eastAsia" w:ascii="楷体_GB2312" w:hAnsi="楷体_GB2312" w:eastAsia="楷体_GB2312" w:cs="楷体_GB2312"/>
          <w:i w:val="0"/>
          <w:iCs w:val="0"/>
          <w:caps w:val="0"/>
          <w:color w:val="auto"/>
          <w:spacing w:val="0"/>
          <w:sz w:val="32"/>
          <w:szCs w:val="32"/>
          <w:shd w:val="clear" w:fill="FFFFFF"/>
        </w:rPr>
        <w:t>机构设置</w:t>
      </w:r>
    </w:p>
    <w:p w14:paraId="5891C5A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right="150" w:firstLine="960" w:firstLineChars="3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县机关事务中心参公编制人数6人。</w:t>
      </w:r>
    </w:p>
    <w:p w14:paraId="205D4F32">
      <w:pPr>
        <w:pStyle w:val="5"/>
        <w:rPr>
          <w:rFonts w:hint="eastAsia" w:eastAsia="仿宋_GB2312"/>
          <w:lang w:eastAsia="zh-CN"/>
        </w:rPr>
      </w:pPr>
      <w:r>
        <w:rPr>
          <w:rFonts w:hint="eastAsia"/>
        </w:rPr>
        <w:t>（三）部门整体预算支出安排情况</w:t>
      </w:r>
      <w:r>
        <w:rPr>
          <w:rFonts w:hint="eastAsia"/>
          <w:lang w:eastAsia="zh-CN"/>
        </w:rPr>
        <w:t>：</w:t>
      </w:r>
    </w:p>
    <w:p w14:paraId="1C0F7F08">
      <w:pPr>
        <w:pStyle w:val="5"/>
      </w:pPr>
      <w:r>
        <w:rPr>
          <w:rFonts w:hint="eastAsia"/>
        </w:rPr>
        <w:t>（1）县本级财政资金预算执行情况</w:t>
      </w:r>
    </w:p>
    <w:p w14:paraId="4711ABF4">
      <w:pPr>
        <w:pStyle w:val="21"/>
        <w:spacing w:line="560" w:lineRule="exact"/>
        <w:ind w:firstLine="640"/>
        <w:rPr>
          <w:rFonts w:ascii="仿宋_GB2312" w:hAnsi="仿宋_GB2312" w:cs="仿宋_GB2312"/>
          <w:sz w:val="32"/>
          <w:szCs w:val="32"/>
          <w:lang w:val="en-US"/>
        </w:rPr>
      </w:pPr>
      <w:r>
        <w:rPr>
          <w:rFonts w:hint="eastAsia" w:ascii="仿宋_GB2312" w:hAnsi="仿宋_GB2312" w:cs="仿宋_GB2312"/>
          <w:sz w:val="32"/>
          <w:szCs w:val="32"/>
          <w:lang w:val="en-US" w:eastAsia="zh-CN"/>
        </w:rPr>
        <w:t>县机关事务中心</w:t>
      </w:r>
      <w:r>
        <w:rPr>
          <w:rFonts w:hint="eastAsia" w:ascii="仿宋_GB2312" w:hAnsi="仿宋_GB2312" w:cs="仿宋_GB2312"/>
          <w:sz w:val="32"/>
          <w:szCs w:val="32"/>
          <w:lang w:val="en-US"/>
        </w:rPr>
        <w:t>2023年全年预算收入</w:t>
      </w:r>
      <w:r>
        <w:rPr>
          <w:rFonts w:hint="eastAsia" w:ascii="仿宋_GB2312" w:hAnsi="仿宋_GB2312" w:cs="仿宋_GB2312"/>
          <w:sz w:val="32"/>
          <w:szCs w:val="32"/>
          <w:lang w:val="en-US" w:eastAsia="zh-CN"/>
        </w:rPr>
        <w:t>954.81</w:t>
      </w:r>
      <w:r>
        <w:rPr>
          <w:rFonts w:hint="eastAsia" w:ascii="仿宋_GB2312" w:hAnsi="仿宋_GB2312" w:cs="仿宋_GB2312"/>
          <w:sz w:val="32"/>
          <w:szCs w:val="32"/>
          <w:lang w:val="en-US"/>
        </w:rPr>
        <w:t>万元，实际收入</w:t>
      </w:r>
      <w:r>
        <w:rPr>
          <w:rFonts w:hint="eastAsia" w:ascii="仿宋_GB2312" w:hAnsi="仿宋_GB2312" w:cs="仿宋_GB2312"/>
          <w:sz w:val="32"/>
          <w:szCs w:val="32"/>
          <w:lang w:val="en-US" w:eastAsia="zh-CN"/>
        </w:rPr>
        <w:t>954.81</w:t>
      </w:r>
      <w:r>
        <w:rPr>
          <w:rFonts w:hint="eastAsia" w:ascii="仿宋_GB2312" w:hAnsi="仿宋_GB2312" w:cs="仿宋_GB2312"/>
          <w:sz w:val="32"/>
          <w:szCs w:val="32"/>
          <w:lang w:val="en-US"/>
        </w:rPr>
        <w:t>万元，其中一般公共预算财政拨款收入</w:t>
      </w:r>
      <w:r>
        <w:rPr>
          <w:rFonts w:hint="eastAsia" w:ascii="仿宋_GB2312" w:hAnsi="仿宋_GB2312" w:cs="仿宋_GB2312"/>
          <w:sz w:val="32"/>
          <w:szCs w:val="32"/>
          <w:lang w:val="en-US" w:eastAsia="zh-CN"/>
        </w:rPr>
        <w:t>954.81</w:t>
      </w:r>
      <w:r>
        <w:rPr>
          <w:rFonts w:hint="eastAsia" w:ascii="仿宋_GB2312" w:hAnsi="仿宋_GB2312" w:cs="仿宋_GB2312"/>
          <w:sz w:val="32"/>
          <w:szCs w:val="32"/>
          <w:lang w:val="en-US"/>
        </w:rPr>
        <w:t>万元，预算资金全部为财政拨款，全年实际支出总数为</w:t>
      </w:r>
      <w:r>
        <w:rPr>
          <w:rFonts w:hint="eastAsia" w:ascii="仿宋_GB2312" w:hAnsi="仿宋_GB2312" w:cs="仿宋_GB2312"/>
          <w:sz w:val="32"/>
          <w:szCs w:val="32"/>
          <w:lang w:val="en-US" w:eastAsia="zh-CN"/>
        </w:rPr>
        <w:t>954.81</w:t>
      </w:r>
      <w:r>
        <w:rPr>
          <w:rFonts w:hint="eastAsia" w:ascii="仿宋_GB2312" w:hAnsi="仿宋_GB2312" w:cs="仿宋_GB2312"/>
          <w:sz w:val="32"/>
          <w:szCs w:val="32"/>
          <w:lang w:val="en-US"/>
        </w:rPr>
        <w:t>万元，其中基本支出</w:t>
      </w:r>
      <w:r>
        <w:rPr>
          <w:rFonts w:hint="eastAsia" w:ascii="仿宋_GB2312" w:hAnsi="仿宋_GB2312" w:cs="仿宋_GB2312"/>
          <w:sz w:val="32"/>
          <w:szCs w:val="32"/>
          <w:lang w:val="en-US" w:eastAsia="zh-CN"/>
        </w:rPr>
        <w:t>130.62</w:t>
      </w:r>
      <w:r>
        <w:rPr>
          <w:rFonts w:hint="eastAsia" w:ascii="仿宋_GB2312" w:hAnsi="仿宋_GB2312" w:cs="仿宋_GB2312"/>
          <w:sz w:val="32"/>
          <w:szCs w:val="32"/>
          <w:lang w:val="en-US"/>
        </w:rPr>
        <w:t>万元、项目支出</w:t>
      </w:r>
      <w:r>
        <w:rPr>
          <w:rFonts w:hint="eastAsia" w:ascii="仿宋_GB2312" w:hAnsi="仿宋_GB2312" w:cs="仿宋_GB2312"/>
          <w:sz w:val="32"/>
          <w:szCs w:val="32"/>
          <w:lang w:val="en-US" w:eastAsia="zh-CN"/>
        </w:rPr>
        <w:t>824.19</w:t>
      </w:r>
      <w:r>
        <w:rPr>
          <w:rFonts w:hint="eastAsia" w:ascii="仿宋_GB2312" w:hAnsi="仿宋_GB2312" w:cs="仿宋_GB2312"/>
          <w:sz w:val="32"/>
          <w:szCs w:val="32"/>
          <w:lang w:val="en-US"/>
        </w:rPr>
        <w:t>万元，预算执行率为100%。资金执行情况如下表所示。</w:t>
      </w:r>
    </w:p>
    <w:p w14:paraId="51DDCB8B">
      <w:pPr>
        <w:pStyle w:val="21"/>
        <w:spacing w:line="560" w:lineRule="exact"/>
        <w:ind w:firstLine="0" w:firstLineChars="0"/>
        <w:jc w:val="center"/>
        <w:rPr>
          <w:rFonts w:ascii="仿宋_GB2312" w:hAnsi="仿宋_GB2312" w:cs="仿宋_GB2312"/>
          <w:b/>
        </w:rPr>
      </w:pPr>
      <w:r>
        <w:rPr>
          <w:rFonts w:hint="eastAsia" w:ascii="仿宋_GB2312" w:hAnsi="仿宋_GB2312" w:cs="仿宋_GB2312"/>
          <w:b/>
        </w:rPr>
        <w:t>20</w:t>
      </w:r>
      <w:r>
        <w:rPr>
          <w:rFonts w:hint="eastAsia" w:ascii="仿宋_GB2312" w:hAnsi="仿宋_GB2312" w:cs="仿宋_GB2312"/>
          <w:b/>
          <w:lang w:val="en-US"/>
        </w:rPr>
        <w:t>23</w:t>
      </w:r>
      <w:r>
        <w:rPr>
          <w:rFonts w:hint="eastAsia" w:ascii="仿宋_GB2312" w:hAnsi="仿宋_GB2312" w:cs="仿宋_GB2312"/>
          <w:b/>
        </w:rPr>
        <w:t>年度县政府办公室资金预算执行表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9"/>
        <w:gridCol w:w="1274"/>
        <w:gridCol w:w="1136"/>
        <w:gridCol w:w="1276"/>
        <w:gridCol w:w="1132"/>
        <w:gridCol w:w="2232"/>
      </w:tblGrid>
      <w:tr w14:paraId="6F39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1083" w:type="pct"/>
            <w:vMerge w:val="restart"/>
            <w:vAlign w:val="center"/>
          </w:tcPr>
          <w:p w14:paraId="2E51C9D2">
            <w:pPr>
              <w:spacing w:line="240" w:lineRule="auto"/>
              <w:jc w:val="center"/>
              <w:rPr>
                <w:rFonts w:ascii="仿宋" w:hAnsi="仿宋" w:eastAsia="仿宋" w:cs="仿宋"/>
                <w:b/>
                <w:bCs/>
                <w:sz w:val="21"/>
                <w:szCs w:val="21"/>
              </w:rPr>
            </w:pPr>
            <w:r>
              <w:rPr>
                <w:rFonts w:hint="eastAsia" w:ascii="仿宋" w:hAnsi="仿宋" w:eastAsia="仿宋" w:cs="仿宋"/>
                <w:b/>
                <w:bCs/>
                <w:sz w:val="21"/>
                <w:szCs w:val="21"/>
              </w:rPr>
              <w:t>下达资金（万元）</w:t>
            </w:r>
          </w:p>
        </w:tc>
        <w:tc>
          <w:tcPr>
            <w:tcW w:w="3917" w:type="pct"/>
            <w:gridSpan w:val="5"/>
            <w:vAlign w:val="center"/>
          </w:tcPr>
          <w:p w14:paraId="76672E8F">
            <w:pPr>
              <w:spacing w:line="240" w:lineRule="auto"/>
              <w:jc w:val="center"/>
              <w:rPr>
                <w:rFonts w:ascii="仿宋" w:hAnsi="仿宋" w:eastAsia="仿宋" w:cs="仿宋"/>
                <w:b/>
                <w:bCs/>
                <w:sz w:val="21"/>
                <w:szCs w:val="21"/>
              </w:rPr>
            </w:pPr>
            <w:r>
              <w:rPr>
                <w:rFonts w:hint="eastAsia" w:ascii="仿宋" w:hAnsi="仿宋" w:eastAsia="仿宋" w:cs="仿宋"/>
                <w:b/>
                <w:bCs/>
                <w:sz w:val="21"/>
                <w:szCs w:val="21"/>
              </w:rPr>
              <w:t>部门资金支付（万元）</w:t>
            </w:r>
          </w:p>
        </w:tc>
      </w:tr>
      <w:tr w14:paraId="064A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blHeader/>
          <w:jc w:val="center"/>
        </w:trPr>
        <w:tc>
          <w:tcPr>
            <w:tcW w:w="1083" w:type="pct"/>
            <w:vMerge w:val="continue"/>
            <w:vAlign w:val="center"/>
          </w:tcPr>
          <w:p w14:paraId="70ECF19F">
            <w:pPr>
              <w:spacing w:line="240" w:lineRule="auto"/>
              <w:jc w:val="center"/>
              <w:rPr>
                <w:rFonts w:ascii="仿宋" w:hAnsi="仿宋" w:eastAsia="仿宋" w:cs="仿宋"/>
                <w:sz w:val="21"/>
                <w:szCs w:val="21"/>
              </w:rPr>
            </w:pPr>
          </w:p>
        </w:tc>
        <w:tc>
          <w:tcPr>
            <w:tcW w:w="2048" w:type="pct"/>
            <w:gridSpan w:val="3"/>
            <w:vAlign w:val="center"/>
          </w:tcPr>
          <w:p w14:paraId="786B06A9">
            <w:pPr>
              <w:spacing w:line="240" w:lineRule="auto"/>
              <w:jc w:val="center"/>
              <w:rPr>
                <w:rFonts w:ascii="仿宋" w:hAnsi="仿宋" w:eastAsia="仿宋" w:cs="仿宋"/>
                <w:b/>
                <w:bCs/>
                <w:sz w:val="21"/>
                <w:szCs w:val="21"/>
              </w:rPr>
            </w:pPr>
            <w:r>
              <w:rPr>
                <w:rFonts w:ascii="仿宋" w:hAnsi="仿宋" w:eastAsia="仿宋" w:cs="仿宋"/>
                <w:b/>
                <w:bCs/>
                <w:sz w:val="21"/>
                <w:szCs w:val="21"/>
              </w:rPr>
              <w:t>基本支出</w:t>
            </w:r>
          </w:p>
        </w:tc>
        <w:tc>
          <w:tcPr>
            <w:tcW w:w="629" w:type="pct"/>
            <w:vMerge w:val="restart"/>
            <w:vAlign w:val="center"/>
          </w:tcPr>
          <w:p w14:paraId="72CB4A20">
            <w:pPr>
              <w:spacing w:line="240" w:lineRule="auto"/>
              <w:jc w:val="center"/>
              <w:rPr>
                <w:rFonts w:ascii="仿宋" w:hAnsi="仿宋" w:eastAsia="仿宋" w:cs="仿宋"/>
                <w:b/>
                <w:bCs/>
                <w:sz w:val="21"/>
                <w:szCs w:val="21"/>
              </w:rPr>
            </w:pPr>
            <w:r>
              <w:rPr>
                <w:rFonts w:ascii="仿宋" w:hAnsi="仿宋" w:eastAsia="仿宋" w:cs="仿宋"/>
                <w:b/>
                <w:bCs/>
                <w:sz w:val="21"/>
                <w:szCs w:val="21"/>
              </w:rPr>
              <w:t>项目支出</w:t>
            </w:r>
          </w:p>
        </w:tc>
        <w:tc>
          <w:tcPr>
            <w:tcW w:w="1240" w:type="pct"/>
            <w:vMerge w:val="restart"/>
            <w:vAlign w:val="center"/>
          </w:tcPr>
          <w:p w14:paraId="60FA63D7">
            <w:pPr>
              <w:spacing w:line="240" w:lineRule="auto"/>
              <w:jc w:val="center"/>
              <w:rPr>
                <w:rFonts w:ascii="仿宋" w:hAnsi="仿宋" w:eastAsia="仿宋" w:cs="仿宋"/>
                <w:b/>
                <w:bCs/>
                <w:sz w:val="21"/>
                <w:szCs w:val="21"/>
              </w:rPr>
            </w:pPr>
            <w:r>
              <w:rPr>
                <w:rFonts w:hint="eastAsia" w:ascii="仿宋" w:hAnsi="仿宋" w:eastAsia="仿宋" w:cs="仿宋"/>
                <w:b/>
                <w:bCs/>
                <w:sz w:val="21"/>
                <w:szCs w:val="21"/>
              </w:rPr>
              <w:t>支出项目明细</w:t>
            </w:r>
          </w:p>
        </w:tc>
      </w:tr>
      <w:tr w14:paraId="2BA4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blHeader/>
          <w:jc w:val="center"/>
        </w:trPr>
        <w:tc>
          <w:tcPr>
            <w:tcW w:w="1083" w:type="pct"/>
            <w:vMerge w:val="continue"/>
            <w:vAlign w:val="center"/>
          </w:tcPr>
          <w:p w14:paraId="74E9999D">
            <w:pPr>
              <w:spacing w:line="240" w:lineRule="auto"/>
              <w:jc w:val="center"/>
              <w:rPr>
                <w:rFonts w:ascii="仿宋" w:hAnsi="仿宋" w:eastAsia="仿宋" w:cs="仿宋"/>
                <w:sz w:val="21"/>
                <w:szCs w:val="21"/>
              </w:rPr>
            </w:pPr>
          </w:p>
        </w:tc>
        <w:tc>
          <w:tcPr>
            <w:tcW w:w="708" w:type="pct"/>
            <w:vAlign w:val="center"/>
          </w:tcPr>
          <w:p w14:paraId="2C7C464D">
            <w:pPr>
              <w:spacing w:line="240" w:lineRule="auto"/>
              <w:jc w:val="center"/>
              <w:rPr>
                <w:rFonts w:ascii="仿宋" w:hAnsi="仿宋" w:eastAsia="仿宋" w:cs="仿宋"/>
                <w:b/>
                <w:bCs/>
                <w:sz w:val="21"/>
                <w:szCs w:val="21"/>
              </w:rPr>
            </w:pPr>
            <w:r>
              <w:rPr>
                <w:rFonts w:hint="eastAsia" w:ascii="仿宋" w:hAnsi="仿宋" w:eastAsia="仿宋" w:cs="仿宋"/>
                <w:b/>
                <w:bCs/>
                <w:sz w:val="21"/>
                <w:szCs w:val="21"/>
              </w:rPr>
              <w:t>小计</w:t>
            </w:r>
          </w:p>
        </w:tc>
        <w:tc>
          <w:tcPr>
            <w:tcW w:w="631" w:type="pct"/>
            <w:vAlign w:val="center"/>
          </w:tcPr>
          <w:p w14:paraId="05C8E6C5">
            <w:pPr>
              <w:spacing w:line="240" w:lineRule="auto"/>
              <w:jc w:val="center"/>
              <w:rPr>
                <w:rFonts w:ascii="仿宋" w:hAnsi="仿宋" w:eastAsia="仿宋" w:cs="仿宋"/>
                <w:b/>
                <w:bCs/>
                <w:sz w:val="21"/>
                <w:szCs w:val="21"/>
              </w:rPr>
            </w:pPr>
            <w:r>
              <w:rPr>
                <w:rFonts w:hint="eastAsia" w:ascii="仿宋" w:hAnsi="仿宋" w:eastAsia="仿宋" w:cs="仿宋"/>
                <w:b/>
                <w:bCs/>
                <w:sz w:val="21"/>
                <w:szCs w:val="21"/>
              </w:rPr>
              <w:t>人员经费</w:t>
            </w:r>
          </w:p>
        </w:tc>
        <w:tc>
          <w:tcPr>
            <w:tcW w:w="709" w:type="pct"/>
            <w:vAlign w:val="center"/>
          </w:tcPr>
          <w:p w14:paraId="21E63A3B">
            <w:pPr>
              <w:spacing w:line="240" w:lineRule="auto"/>
              <w:jc w:val="center"/>
              <w:rPr>
                <w:rFonts w:ascii="仿宋" w:hAnsi="仿宋" w:eastAsia="仿宋" w:cs="仿宋"/>
                <w:b/>
                <w:bCs/>
                <w:sz w:val="21"/>
                <w:szCs w:val="21"/>
              </w:rPr>
            </w:pPr>
            <w:r>
              <w:rPr>
                <w:rFonts w:hint="eastAsia" w:ascii="仿宋" w:hAnsi="仿宋" w:eastAsia="仿宋" w:cs="仿宋"/>
                <w:b/>
                <w:bCs/>
                <w:sz w:val="21"/>
                <w:szCs w:val="21"/>
              </w:rPr>
              <w:t>公用经费</w:t>
            </w:r>
          </w:p>
        </w:tc>
        <w:tc>
          <w:tcPr>
            <w:tcW w:w="629" w:type="pct"/>
            <w:vMerge w:val="continue"/>
            <w:vAlign w:val="center"/>
          </w:tcPr>
          <w:p w14:paraId="44AA9063">
            <w:pPr>
              <w:spacing w:line="240" w:lineRule="auto"/>
              <w:jc w:val="center"/>
              <w:rPr>
                <w:rFonts w:ascii="仿宋" w:hAnsi="仿宋" w:eastAsia="仿宋" w:cs="仿宋"/>
                <w:b/>
                <w:bCs/>
                <w:sz w:val="21"/>
                <w:szCs w:val="21"/>
              </w:rPr>
            </w:pPr>
          </w:p>
        </w:tc>
        <w:tc>
          <w:tcPr>
            <w:tcW w:w="1240" w:type="pct"/>
            <w:vMerge w:val="continue"/>
            <w:vAlign w:val="center"/>
          </w:tcPr>
          <w:p w14:paraId="7FCC7CFE">
            <w:pPr>
              <w:spacing w:line="240" w:lineRule="auto"/>
              <w:jc w:val="center"/>
              <w:rPr>
                <w:rFonts w:ascii="仿宋" w:hAnsi="仿宋" w:eastAsia="仿宋" w:cs="仿宋"/>
                <w:b/>
                <w:bCs/>
                <w:sz w:val="21"/>
                <w:szCs w:val="21"/>
              </w:rPr>
            </w:pPr>
          </w:p>
        </w:tc>
      </w:tr>
      <w:tr w14:paraId="4A2C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83" w:type="pct"/>
            <w:vMerge w:val="restart"/>
            <w:vAlign w:val="center"/>
          </w:tcPr>
          <w:p w14:paraId="63ABA68A">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954.81</w:t>
            </w:r>
          </w:p>
        </w:tc>
        <w:tc>
          <w:tcPr>
            <w:tcW w:w="708" w:type="pct"/>
            <w:vAlign w:val="center"/>
          </w:tcPr>
          <w:p w14:paraId="2FA4D6E9">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130.62</w:t>
            </w:r>
          </w:p>
        </w:tc>
        <w:tc>
          <w:tcPr>
            <w:tcW w:w="631" w:type="pct"/>
            <w:vAlign w:val="center"/>
          </w:tcPr>
          <w:p w14:paraId="78272D9C">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12.37</w:t>
            </w:r>
          </w:p>
        </w:tc>
        <w:tc>
          <w:tcPr>
            <w:tcW w:w="709" w:type="pct"/>
            <w:vAlign w:val="center"/>
          </w:tcPr>
          <w:p w14:paraId="250BA4E2">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118.25</w:t>
            </w:r>
          </w:p>
        </w:tc>
        <w:tc>
          <w:tcPr>
            <w:tcW w:w="629" w:type="pct"/>
            <w:vAlign w:val="center"/>
          </w:tcPr>
          <w:p w14:paraId="71531F09">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824.19</w:t>
            </w:r>
          </w:p>
        </w:tc>
        <w:tc>
          <w:tcPr>
            <w:tcW w:w="1240" w:type="pct"/>
            <w:vAlign w:val="center"/>
          </w:tcPr>
          <w:p w14:paraId="7F3674FE">
            <w:pPr>
              <w:spacing w:line="240" w:lineRule="auto"/>
              <w:jc w:val="center"/>
              <w:rPr>
                <w:rFonts w:ascii="仿宋" w:hAnsi="仿宋" w:eastAsia="仿宋" w:cs="仿宋"/>
                <w:sz w:val="21"/>
                <w:szCs w:val="21"/>
              </w:rPr>
            </w:pPr>
            <w:r>
              <w:rPr>
                <w:rFonts w:hint="eastAsia" w:ascii="仿宋" w:hAnsi="仿宋" w:eastAsia="仿宋" w:cs="仿宋"/>
                <w:sz w:val="21"/>
                <w:szCs w:val="21"/>
              </w:rPr>
              <w:t>一般公共服务支出</w:t>
            </w:r>
          </w:p>
        </w:tc>
      </w:tr>
      <w:tr w14:paraId="2545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83" w:type="pct"/>
            <w:vMerge w:val="continue"/>
            <w:vAlign w:val="center"/>
          </w:tcPr>
          <w:p w14:paraId="09B8BF29">
            <w:pPr>
              <w:spacing w:line="240" w:lineRule="auto"/>
              <w:jc w:val="center"/>
              <w:rPr>
                <w:rFonts w:ascii="仿宋" w:hAnsi="仿宋" w:eastAsia="仿宋" w:cs="仿宋"/>
                <w:sz w:val="21"/>
                <w:szCs w:val="21"/>
              </w:rPr>
            </w:pPr>
          </w:p>
        </w:tc>
        <w:tc>
          <w:tcPr>
            <w:tcW w:w="708" w:type="pct"/>
            <w:vAlign w:val="center"/>
          </w:tcPr>
          <w:p w14:paraId="7B100711">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6.87</w:t>
            </w:r>
          </w:p>
        </w:tc>
        <w:tc>
          <w:tcPr>
            <w:tcW w:w="631" w:type="pct"/>
            <w:vAlign w:val="center"/>
          </w:tcPr>
          <w:p w14:paraId="7A29093E">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6.87</w:t>
            </w:r>
          </w:p>
        </w:tc>
        <w:tc>
          <w:tcPr>
            <w:tcW w:w="709" w:type="pct"/>
            <w:vAlign w:val="center"/>
          </w:tcPr>
          <w:p w14:paraId="33AC064C">
            <w:pPr>
              <w:spacing w:line="240" w:lineRule="auto"/>
              <w:jc w:val="center"/>
              <w:rPr>
                <w:rFonts w:hint="default" w:ascii="仿宋" w:hAnsi="仿宋" w:eastAsia="仿宋" w:cs="仿宋"/>
                <w:sz w:val="21"/>
                <w:szCs w:val="21"/>
                <w:lang w:val="en-US" w:eastAsia="zh-CN"/>
              </w:rPr>
            </w:pPr>
          </w:p>
        </w:tc>
        <w:tc>
          <w:tcPr>
            <w:tcW w:w="629" w:type="pct"/>
            <w:vAlign w:val="center"/>
          </w:tcPr>
          <w:p w14:paraId="2725B8E9">
            <w:pPr>
              <w:spacing w:line="240" w:lineRule="auto"/>
              <w:jc w:val="center"/>
              <w:rPr>
                <w:rFonts w:ascii="仿宋" w:hAnsi="仿宋" w:eastAsia="仿宋" w:cs="仿宋"/>
                <w:sz w:val="21"/>
                <w:szCs w:val="21"/>
              </w:rPr>
            </w:pPr>
          </w:p>
        </w:tc>
        <w:tc>
          <w:tcPr>
            <w:tcW w:w="1240" w:type="pct"/>
            <w:vAlign w:val="center"/>
          </w:tcPr>
          <w:p w14:paraId="0D6BBD92">
            <w:pPr>
              <w:spacing w:line="240" w:lineRule="auto"/>
              <w:jc w:val="center"/>
              <w:rPr>
                <w:rFonts w:ascii="仿宋" w:hAnsi="仿宋" w:eastAsia="仿宋" w:cs="仿宋"/>
                <w:sz w:val="21"/>
                <w:szCs w:val="21"/>
              </w:rPr>
            </w:pPr>
            <w:r>
              <w:rPr>
                <w:rFonts w:hint="eastAsia" w:ascii="仿宋" w:hAnsi="仿宋" w:eastAsia="仿宋" w:cs="仿宋"/>
                <w:sz w:val="21"/>
                <w:szCs w:val="21"/>
              </w:rPr>
              <w:t>社会保障和就业支出</w:t>
            </w:r>
          </w:p>
        </w:tc>
      </w:tr>
      <w:tr w14:paraId="60FE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83" w:type="pct"/>
            <w:vMerge w:val="continue"/>
            <w:vAlign w:val="center"/>
          </w:tcPr>
          <w:p w14:paraId="67532B5B">
            <w:pPr>
              <w:spacing w:line="240" w:lineRule="auto"/>
              <w:jc w:val="center"/>
              <w:rPr>
                <w:rFonts w:ascii="仿宋" w:hAnsi="仿宋" w:eastAsia="仿宋" w:cs="仿宋"/>
                <w:sz w:val="21"/>
                <w:szCs w:val="21"/>
              </w:rPr>
            </w:pPr>
          </w:p>
        </w:tc>
        <w:tc>
          <w:tcPr>
            <w:tcW w:w="708" w:type="pct"/>
            <w:vAlign w:val="center"/>
          </w:tcPr>
          <w:p w14:paraId="7EC38B9C">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2.34</w:t>
            </w:r>
          </w:p>
        </w:tc>
        <w:tc>
          <w:tcPr>
            <w:tcW w:w="631" w:type="pct"/>
            <w:vAlign w:val="center"/>
          </w:tcPr>
          <w:p w14:paraId="1CBC40FB">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2.34</w:t>
            </w:r>
          </w:p>
        </w:tc>
        <w:tc>
          <w:tcPr>
            <w:tcW w:w="709" w:type="pct"/>
            <w:vAlign w:val="center"/>
          </w:tcPr>
          <w:p w14:paraId="3818C10C">
            <w:pPr>
              <w:spacing w:line="240" w:lineRule="auto"/>
              <w:jc w:val="center"/>
              <w:rPr>
                <w:rFonts w:ascii="仿宋" w:hAnsi="仿宋" w:eastAsia="仿宋" w:cs="仿宋"/>
                <w:sz w:val="21"/>
                <w:szCs w:val="21"/>
              </w:rPr>
            </w:pPr>
          </w:p>
        </w:tc>
        <w:tc>
          <w:tcPr>
            <w:tcW w:w="629" w:type="pct"/>
            <w:vAlign w:val="center"/>
          </w:tcPr>
          <w:p w14:paraId="6200F9DC">
            <w:pPr>
              <w:spacing w:line="240" w:lineRule="auto"/>
              <w:jc w:val="center"/>
              <w:rPr>
                <w:rFonts w:ascii="仿宋" w:hAnsi="仿宋" w:eastAsia="仿宋" w:cs="仿宋"/>
                <w:sz w:val="21"/>
                <w:szCs w:val="21"/>
              </w:rPr>
            </w:pPr>
          </w:p>
        </w:tc>
        <w:tc>
          <w:tcPr>
            <w:tcW w:w="1240" w:type="pct"/>
            <w:vAlign w:val="center"/>
          </w:tcPr>
          <w:p w14:paraId="06890675">
            <w:pPr>
              <w:spacing w:line="240" w:lineRule="auto"/>
              <w:jc w:val="center"/>
              <w:rPr>
                <w:rFonts w:ascii="仿宋" w:hAnsi="仿宋" w:eastAsia="仿宋" w:cs="仿宋"/>
                <w:sz w:val="21"/>
                <w:szCs w:val="21"/>
              </w:rPr>
            </w:pPr>
            <w:r>
              <w:rPr>
                <w:rFonts w:hint="eastAsia" w:ascii="仿宋" w:hAnsi="仿宋" w:eastAsia="仿宋" w:cs="仿宋"/>
                <w:sz w:val="21"/>
                <w:szCs w:val="21"/>
              </w:rPr>
              <w:t>卫生健康支出</w:t>
            </w:r>
          </w:p>
        </w:tc>
      </w:tr>
      <w:tr w14:paraId="1CF0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83" w:type="pct"/>
            <w:vMerge w:val="continue"/>
            <w:vAlign w:val="center"/>
          </w:tcPr>
          <w:p w14:paraId="452B3205">
            <w:pPr>
              <w:spacing w:line="240" w:lineRule="auto"/>
              <w:jc w:val="center"/>
              <w:rPr>
                <w:rFonts w:ascii="仿宋" w:hAnsi="仿宋" w:eastAsia="仿宋" w:cs="仿宋"/>
                <w:sz w:val="21"/>
                <w:szCs w:val="21"/>
              </w:rPr>
            </w:pPr>
          </w:p>
        </w:tc>
        <w:tc>
          <w:tcPr>
            <w:tcW w:w="708" w:type="pct"/>
            <w:vAlign w:val="center"/>
          </w:tcPr>
          <w:p w14:paraId="45B3D9AF">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3.16</w:t>
            </w:r>
          </w:p>
        </w:tc>
        <w:tc>
          <w:tcPr>
            <w:tcW w:w="631" w:type="pct"/>
            <w:vAlign w:val="center"/>
          </w:tcPr>
          <w:p w14:paraId="359EC635">
            <w:pPr>
              <w:spacing w:line="24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3.16</w:t>
            </w:r>
          </w:p>
        </w:tc>
        <w:tc>
          <w:tcPr>
            <w:tcW w:w="709" w:type="pct"/>
            <w:vAlign w:val="center"/>
          </w:tcPr>
          <w:p w14:paraId="0360F421">
            <w:pPr>
              <w:spacing w:line="240" w:lineRule="auto"/>
              <w:jc w:val="center"/>
              <w:rPr>
                <w:rFonts w:ascii="仿宋" w:hAnsi="仿宋" w:eastAsia="仿宋" w:cs="仿宋"/>
                <w:sz w:val="21"/>
                <w:szCs w:val="21"/>
              </w:rPr>
            </w:pPr>
          </w:p>
        </w:tc>
        <w:tc>
          <w:tcPr>
            <w:tcW w:w="629" w:type="pct"/>
            <w:vAlign w:val="center"/>
          </w:tcPr>
          <w:p w14:paraId="1A988770">
            <w:pPr>
              <w:spacing w:line="240" w:lineRule="auto"/>
              <w:jc w:val="center"/>
              <w:rPr>
                <w:rFonts w:ascii="仿宋" w:hAnsi="仿宋" w:eastAsia="仿宋" w:cs="仿宋"/>
                <w:sz w:val="21"/>
                <w:szCs w:val="21"/>
              </w:rPr>
            </w:pPr>
          </w:p>
        </w:tc>
        <w:tc>
          <w:tcPr>
            <w:tcW w:w="1240" w:type="pct"/>
            <w:vAlign w:val="center"/>
          </w:tcPr>
          <w:p w14:paraId="2905EFF7">
            <w:pPr>
              <w:spacing w:line="240" w:lineRule="auto"/>
              <w:jc w:val="center"/>
              <w:rPr>
                <w:rFonts w:ascii="仿宋" w:hAnsi="仿宋" w:eastAsia="仿宋" w:cs="仿宋"/>
                <w:sz w:val="21"/>
                <w:szCs w:val="21"/>
              </w:rPr>
            </w:pPr>
            <w:r>
              <w:rPr>
                <w:rFonts w:hint="eastAsia" w:ascii="仿宋" w:hAnsi="仿宋" w:eastAsia="仿宋" w:cs="仿宋"/>
                <w:sz w:val="21"/>
                <w:szCs w:val="21"/>
              </w:rPr>
              <w:t>住房公积金</w:t>
            </w:r>
          </w:p>
        </w:tc>
      </w:tr>
      <w:tr w14:paraId="7DF2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83" w:type="pct"/>
            <w:vAlign w:val="center"/>
          </w:tcPr>
          <w:p w14:paraId="0DD19D08">
            <w:pPr>
              <w:spacing w:line="240" w:lineRule="auto"/>
              <w:jc w:val="center"/>
              <w:rPr>
                <w:rFonts w:ascii="仿宋" w:hAnsi="仿宋" w:eastAsia="仿宋" w:cs="仿宋"/>
                <w:b/>
                <w:bCs/>
                <w:sz w:val="21"/>
                <w:szCs w:val="21"/>
              </w:rPr>
            </w:pPr>
            <w:r>
              <w:rPr>
                <w:rFonts w:hint="eastAsia" w:ascii="仿宋" w:hAnsi="仿宋" w:eastAsia="仿宋" w:cs="仿宋"/>
                <w:b/>
                <w:bCs/>
                <w:sz w:val="21"/>
                <w:szCs w:val="21"/>
              </w:rPr>
              <w:t>合计</w:t>
            </w:r>
          </w:p>
        </w:tc>
        <w:tc>
          <w:tcPr>
            <w:tcW w:w="708" w:type="pct"/>
            <w:vAlign w:val="center"/>
          </w:tcPr>
          <w:p w14:paraId="01ED8E45">
            <w:pPr>
              <w:spacing w:line="240" w:lineRule="auto"/>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130.62</w:t>
            </w:r>
          </w:p>
        </w:tc>
        <w:tc>
          <w:tcPr>
            <w:tcW w:w="631" w:type="pct"/>
            <w:vAlign w:val="center"/>
          </w:tcPr>
          <w:p w14:paraId="5F5A5C04">
            <w:pPr>
              <w:spacing w:line="240" w:lineRule="auto"/>
              <w:jc w:val="center"/>
              <w:rPr>
                <w:rFonts w:ascii="仿宋" w:hAnsi="仿宋" w:eastAsia="仿宋" w:cs="仿宋"/>
                <w:b/>
                <w:bCs/>
                <w:sz w:val="21"/>
                <w:szCs w:val="21"/>
              </w:rPr>
            </w:pPr>
          </w:p>
        </w:tc>
        <w:tc>
          <w:tcPr>
            <w:tcW w:w="709" w:type="pct"/>
            <w:vAlign w:val="center"/>
          </w:tcPr>
          <w:p w14:paraId="34EB10AE">
            <w:pPr>
              <w:spacing w:line="240" w:lineRule="auto"/>
              <w:jc w:val="center"/>
              <w:rPr>
                <w:rFonts w:ascii="仿宋" w:hAnsi="仿宋" w:eastAsia="仿宋" w:cs="仿宋"/>
                <w:b/>
                <w:bCs/>
                <w:sz w:val="21"/>
                <w:szCs w:val="21"/>
              </w:rPr>
            </w:pPr>
          </w:p>
        </w:tc>
        <w:tc>
          <w:tcPr>
            <w:tcW w:w="629" w:type="pct"/>
            <w:vAlign w:val="center"/>
          </w:tcPr>
          <w:p w14:paraId="05DC98C8">
            <w:pPr>
              <w:spacing w:line="240" w:lineRule="auto"/>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824.19</w:t>
            </w:r>
          </w:p>
        </w:tc>
        <w:tc>
          <w:tcPr>
            <w:tcW w:w="1240" w:type="pct"/>
            <w:vAlign w:val="center"/>
          </w:tcPr>
          <w:p w14:paraId="3F89DD8F">
            <w:pPr>
              <w:spacing w:line="240" w:lineRule="auto"/>
              <w:jc w:val="center"/>
              <w:rPr>
                <w:rFonts w:ascii="仿宋" w:hAnsi="仿宋" w:eastAsia="仿宋" w:cs="仿宋"/>
                <w:b/>
                <w:bCs/>
                <w:sz w:val="21"/>
                <w:szCs w:val="21"/>
              </w:rPr>
            </w:pPr>
          </w:p>
        </w:tc>
      </w:tr>
    </w:tbl>
    <w:p w14:paraId="013BC163">
      <w:pPr>
        <w:pStyle w:val="5"/>
        <w:spacing w:line="560" w:lineRule="exact"/>
        <w:ind w:firstLine="0" w:firstLineChars="0"/>
      </w:pPr>
      <w:r>
        <w:rPr>
          <w:rFonts w:hint="eastAsia"/>
          <w:b/>
          <w:sz w:val="28"/>
          <w:szCs w:val="28"/>
          <w:lang w:val="zh-CN"/>
        </w:rPr>
        <w:t xml:space="preserve">    </w:t>
      </w:r>
      <w:r>
        <w:rPr>
          <w:rFonts w:hint="eastAsia"/>
        </w:rPr>
        <w:t>（2）上级下达部门资金预算执行情况</w:t>
      </w:r>
    </w:p>
    <w:p w14:paraId="64D1C76F">
      <w:pPr>
        <w:pStyle w:val="5"/>
        <w:spacing w:line="560" w:lineRule="exact"/>
      </w:pPr>
      <w:r>
        <w:t>我单位无上级下达部门资金预算。</w:t>
      </w:r>
    </w:p>
    <w:p w14:paraId="70D98AB5">
      <w:pPr>
        <w:adjustRightInd w:val="0"/>
        <w:snapToGrid w:val="0"/>
        <w:spacing w:line="560" w:lineRule="exact"/>
        <w:ind w:firstLine="643" w:firstLineChars="200"/>
        <w:rPr>
          <w:rFonts w:ascii="微软雅黑" w:hAnsi="微软雅黑" w:eastAsia="微软雅黑" w:cs="微软雅黑"/>
        </w:rPr>
      </w:pPr>
      <w:r>
        <w:rPr>
          <w:rFonts w:hint="eastAsia" w:ascii="仿宋_GB2312" w:hAnsi="仿宋_GB2312" w:cs="仿宋_GB2312"/>
          <w:b/>
          <w:szCs w:val="32"/>
        </w:rPr>
        <w:t>二、评价工作开展</w:t>
      </w:r>
    </w:p>
    <w:p w14:paraId="2E9E7896">
      <w:pPr>
        <w:pStyle w:val="5"/>
      </w:pPr>
      <w:r>
        <w:rPr>
          <w:rFonts w:hint="eastAsia"/>
        </w:rPr>
        <w:t>（一）绩效评价实施过程</w:t>
      </w:r>
    </w:p>
    <w:p w14:paraId="15404F0F">
      <w:pPr>
        <w:ind w:firstLine="640"/>
        <w:rPr>
          <w:rFonts w:ascii="仿宋_GB2312" w:hAnsi="仿宋_GB2312" w:cs="仿宋_GB2312"/>
          <w:kern w:val="0"/>
          <w:szCs w:val="32"/>
          <w:lang w:val="zh-CN"/>
        </w:rPr>
      </w:pPr>
      <w:r>
        <w:rPr>
          <w:rFonts w:hint="eastAsia" w:ascii="仿宋_GB2312" w:hAnsi="仿宋_GB2312" w:cs="仿宋_GB2312"/>
          <w:kern w:val="0"/>
          <w:szCs w:val="32"/>
          <w:lang w:val="zh-CN"/>
        </w:rPr>
        <w:t>通过对</w:t>
      </w:r>
      <w:r>
        <w:rPr>
          <w:rFonts w:hint="eastAsia" w:ascii="仿宋_GB2312" w:hAnsi="仿宋_GB2312" w:cs="仿宋_GB2312"/>
          <w:kern w:val="0"/>
          <w:szCs w:val="32"/>
          <w:lang w:val="en-US" w:eastAsia="zh-CN"/>
        </w:rPr>
        <w:t>机关事务中心</w:t>
      </w:r>
      <w:r>
        <w:rPr>
          <w:rFonts w:hint="eastAsia" w:ascii="仿宋_GB2312" w:hAnsi="仿宋_GB2312" w:cs="仿宋_GB2312"/>
          <w:kern w:val="0"/>
          <w:szCs w:val="32"/>
          <w:lang w:val="zh-CN"/>
        </w:rPr>
        <w:t>2023年度部门整体支出进行综合评价，核实部门组织管理情况、部门整体资金使用情况、部门重点任务完成情况及部门履职效能情况等，评价其部门整体资金安排的科学性、合理性、规范性和资金使用成效。以此推动构建全方位、全过程和全覆盖的预算绩效管理体系，从而有效提高财政资金使用率。本次绩效评价涉及预算资金</w:t>
      </w:r>
      <w:r>
        <w:rPr>
          <w:rFonts w:hint="eastAsia" w:ascii="仿宋_GB2312" w:hAnsi="仿宋_GB2312" w:cs="仿宋_GB2312"/>
          <w:kern w:val="0"/>
          <w:szCs w:val="32"/>
          <w:lang w:val="en-US" w:eastAsia="zh-CN"/>
        </w:rPr>
        <w:t>954.81</w:t>
      </w:r>
      <w:r>
        <w:rPr>
          <w:rFonts w:hint="eastAsia" w:ascii="仿宋_GB2312" w:hAnsi="仿宋_GB2312" w:cs="仿宋_GB2312"/>
          <w:kern w:val="0"/>
          <w:szCs w:val="32"/>
          <w:lang w:val="zh-CN"/>
        </w:rPr>
        <w:t>万元，</w:t>
      </w:r>
      <w:r>
        <w:rPr>
          <w:rFonts w:hint="eastAsia" w:ascii="仿宋_GB2312" w:hAnsi="仿宋_GB2312" w:cs="仿宋_GB2312"/>
          <w:szCs w:val="32"/>
        </w:rPr>
        <w:t>主要实施过程如下：</w:t>
      </w:r>
    </w:p>
    <w:p w14:paraId="0E4B3217">
      <w:pPr>
        <w:pStyle w:val="21"/>
        <w:spacing w:line="560" w:lineRule="exact"/>
        <w:ind w:left="560" w:firstLine="0" w:firstLineChars="0"/>
        <w:rPr>
          <w:rFonts w:ascii="仿宋_GB2312" w:hAnsi="仿宋_GB2312" w:cs="仿宋_GB2312"/>
          <w:b/>
        </w:rPr>
      </w:pPr>
      <w:r>
        <w:rPr>
          <w:rFonts w:hint="eastAsia" w:ascii="仿宋_GB2312" w:hAnsi="仿宋_GB2312" w:cs="仿宋_GB2312"/>
          <w:b/>
        </w:rPr>
        <w:t>1、前期准备</w:t>
      </w:r>
    </w:p>
    <w:p w14:paraId="34224CD0">
      <w:pPr>
        <w:ind w:firstLine="640"/>
        <w:rPr>
          <w:rFonts w:ascii="仿宋_GB2312" w:hAnsi="仿宋_GB2312" w:cs="仿宋_GB2312"/>
          <w:szCs w:val="28"/>
        </w:rPr>
      </w:pPr>
      <w:r>
        <w:rPr>
          <w:rFonts w:hint="eastAsia" w:ascii="仿宋_GB2312" w:hAnsi="仿宋_GB2312" w:cs="仿宋_GB2312"/>
          <w:szCs w:val="28"/>
        </w:rPr>
        <w:t>自2023年12月开始，基本确定了2023年度部门整体评价的实施内容、工作范围、评价目标等，并通过相关资料和数据基础信息，设计了部门整体评价指标体系，结合相关制度、规定和文件，根据部门整体支出情况，拟定绩效评价工作方案，明确评价思路，进行了细致的分析评价。</w:t>
      </w:r>
    </w:p>
    <w:p w14:paraId="4BA27369">
      <w:pPr>
        <w:pStyle w:val="21"/>
        <w:spacing w:line="560" w:lineRule="exact"/>
        <w:ind w:left="560" w:firstLine="0" w:firstLineChars="0"/>
        <w:rPr>
          <w:rFonts w:ascii="仿宋_GB2312" w:hAnsi="仿宋_GB2312" w:cs="仿宋_GB2312"/>
          <w:b/>
        </w:rPr>
      </w:pPr>
      <w:bookmarkStart w:id="0" w:name="_Toc356400138"/>
      <w:bookmarkStart w:id="1" w:name="_Toc343641673"/>
      <w:bookmarkStart w:id="2" w:name="_Toc361813819"/>
      <w:bookmarkStart w:id="3" w:name="_Toc366411941"/>
      <w:bookmarkStart w:id="4" w:name="_Toc366093883"/>
      <w:bookmarkStart w:id="5" w:name="_Toc360067907"/>
      <w:r>
        <w:rPr>
          <w:rFonts w:hint="eastAsia" w:ascii="仿宋_GB2312" w:hAnsi="仿宋_GB2312" w:cs="仿宋_GB2312"/>
          <w:b/>
          <w:lang w:val="en-US"/>
        </w:rPr>
        <w:t>2</w:t>
      </w:r>
      <w:r>
        <w:rPr>
          <w:rFonts w:hint="eastAsia" w:ascii="仿宋_GB2312" w:hAnsi="仿宋_GB2312" w:cs="仿宋_GB2312"/>
          <w:b/>
        </w:rPr>
        <w:t>、数据分析及报告</w:t>
      </w:r>
      <w:bookmarkEnd w:id="0"/>
      <w:bookmarkEnd w:id="1"/>
      <w:r>
        <w:rPr>
          <w:rFonts w:hint="eastAsia" w:ascii="仿宋_GB2312" w:hAnsi="仿宋_GB2312" w:cs="仿宋_GB2312"/>
          <w:b/>
        </w:rPr>
        <w:t>撰写</w:t>
      </w:r>
      <w:bookmarkEnd w:id="2"/>
      <w:bookmarkEnd w:id="3"/>
      <w:bookmarkEnd w:id="4"/>
      <w:bookmarkEnd w:id="5"/>
    </w:p>
    <w:p w14:paraId="03F9F58E">
      <w:pPr>
        <w:ind w:firstLine="640"/>
        <w:rPr>
          <w:rFonts w:ascii="仿宋_GB2312" w:hAnsi="仿宋_GB2312" w:cs="仿宋_GB2312"/>
          <w:szCs w:val="28"/>
        </w:rPr>
      </w:pPr>
      <w:r>
        <w:rPr>
          <w:rFonts w:hint="eastAsia" w:ascii="仿宋_GB2312" w:hAnsi="仿宋_GB2312" w:cs="仿宋_GB2312"/>
          <w:szCs w:val="28"/>
        </w:rPr>
        <w:t>按照评价工作安排，通过座谈、评审、调研资金额度共</w:t>
      </w:r>
      <w:r>
        <w:rPr>
          <w:rFonts w:hint="eastAsia" w:ascii="仿宋_GB2312" w:hAnsi="仿宋_GB2312" w:cs="仿宋_GB2312"/>
          <w:szCs w:val="28"/>
          <w:lang w:val="en-US" w:eastAsia="zh-CN"/>
        </w:rPr>
        <w:t>954.81</w:t>
      </w:r>
      <w:r>
        <w:rPr>
          <w:rFonts w:hint="eastAsia" w:ascii="仿宋_GB2312" w:hAnsi="仿宋_GB2312" w:cs="仿宋_GB2312"/>
          <w:szCs w:val="28"/>
        </w:rPr>
        <w:t>万元。从部门组织管理、资金到位及使用等情况出发，查阅资料，核实单位任务完成情况及资金使用规范性，并与部门工作人员进行座谈、发放调查问卷，掌握工作开展情况的满意度。最后，对采集的数据资料进行处理、分析、评分，提炼结论撰写报告，并不断修正完善。</w:t>
      </w:r>
    </w:p>
    <w:p w14:paraId="606D5D0E">
      <w:pPr>
        <w:pStyle w:val="5"/>
      </w:pPr>
      <w:r>
        <w:rPr>
          <w:rFonts w:hint="eastAsia"/>
        </w:rPr>
        <w:t>（二）绩效评价整体结果概况</w:t>
      </w:r>
    </w:p>
    <w:p w14:paraId="52FE9B1E">
      <w:pPr>
        <w:pStyle w:val="21"/>
        <w:spacing w:line="560" w:lineRule="exact"/>
        <w:ind w:firstLine="640"/>
        <w:rPr>
          <w:rFonts w:ascii="仿宋_GB2312" w:hAnsi="仿宋_GB2312" w:cs="仿宋_GB2312"/>
          <w:kern w:val="2"/>
          <w:sz w:val="32"/>
          <w:lang w:val="en-US"/>
        </w:rPr>
        <w:sectPr>
          <w:pgSz w:w="11906" w:h="16838"/>
          <w:pgMar w:top="2154" w:right="1531" w:bottom="1587" w:left="1587" w:header="851" w:footer="1417" w:gutter="0"/>
          <w:pgNumType w:start="4"/>
          <w:cols w:space="0" w:num="1"/>
          <w:docGrid w:type="lines" w:linePitch="436" w:charSpace="0"/>
        </w:sectPr>
      </w:pPr>
      <w:r>
        <w:rPr>
          <w:rFonts w:hint="eastAsia" w:ascii="仿宋_GB2312" w:hAnsi="仿宋_GB2312" w:cs="仿宋_GB2312"/>
          <w:kern w:val="2"/>
          <w:sz w:val="32"/>
          <w:lang w:val="en-US"/>
        </w:rPr>
        <w:t>依据部门整体绩效评价指标体系及评分标准，我单位根据基础数据，对2023年度整体支出进行了独立评分，最终评分结果为90分，具体评分情况如下表：</w:t>
      </w:r>
    </w:p>
    <w:tbl>
      <w:tblPr>
        <w:tblStyle w:val="12"/>
        <w:tblpPr w:leftFromText="180" w:rightFromText="180" w:horzAnchor="page" w:tblpX="1361" w:tblpY="-1590"/>
        <w:tblW w:w="14292" w:type="dxa"/>
        <w:tblInd w:w="0" w:type="dxa"/>
        <w:tblLayout w:type="autofit"/>
        <w:tblCellMar>
          <w:top w:w="0" w:type="dxa"/>
          <w:left w:w="108" w:type="dxa"/>
          <w:bottom w:w="0" w:type="dxa"/>
          <w:right w:w="108" w:type="dxa"/>
        </w:tblCellMar>
      </w:tblPr>
      <w:tblGrid>
        <w:gridCol w:w="2128"/>
        <w:gridCol w:w="2502"/>
        <w:gridCol w:w="2225"/>
        <w:gridCol w:w="1316"/>
        <w:gridCol w:w="1760"/>
        <w:gridCol w:w="1829"/>
        <w:gridCol w:w="1352"/>
        <w:gridCol w:w="1232"/>
      </w:tblGrid>
      <w:tr w14:paraId="1A2EEE83">
        <w:tblPrEx>
          <w:tblCellMar>
            <w:top w:w="0" w:type="dxa"/>
            <w:left w:w="108" w:type="dxa"/>
            <w:bottom w:w="0" w:type="dxa"/>
            <w:right w:w="108" w:type="dxa"/>
          </w:tblCellMar>
        </w:tblPrEx>
        <w:trPr>
          <w:trHeight w:val="540" w:hRule="atLeast"/>
        </w:trPr>
        <w:tc>
          <w:tcPr>
            <w:tcW w:w="14292" w:type="dxa"/>
            <w:gridSpan w:val="8"/>
            <w:tcBorders>
              <w:top w:val="nil"/>
              <w:left w:val="nil"/>
              <w:bottom w:val="nil"/>
              <w:right w:val="nil"/>
            </w:tcBorders>
            <w:shd w:val="clear" w:color="auto" w:fill="auto"/>
            <w:vAlign w:val="center"/>
          </w:tcPr>
          <w:p w14:paraId="3FE8D185">
            <w:pPr>
              <w:widowControl/>
              <w:spacing w:line="240" w:lineRule="auto"/>
              <w:jc w:val="center"/>
              <w:rPr>
                <w:rFonts w:ascii="宋体" w:hAnsi="宋体" w:eastAsia="宋体" w:cs="Arial"/>
                <w:b/>
                <w:bCs/>
                <w:color w:val="000000"/>
                <w:kern w:val="0"/>
                <w:sz w:val="24"/>
                <w:szCs w:val="24"/>
              </w:rPr>
            </w:pPr>
          </w:p>
          <w:p w14:paraId="4294E070">
            <w:pPr>
              <w:widowControl/>
              <w:spacing w:line="240" w:lineRule="auto"/>
              <w:jc w:val="center"/>
              <w:rPr>
                <w:rFonts w:ascii="宋体" w:hAnsi="宋体" w:eastAsia="宋体" w:cs="Arial"/>
                <w:b/>
                <w:bCs/>
                <w:color w:val="000000"/>
                <w:kern w:val="0"/>
                <w:sz w:val="24"/>
                <w:szCs w:val="24"/>
              </w:rPr>
            </w:pPr>
          </w:p>
          <w:p w14:paraId="3185164D">
            <w:pPr>
              <w:widowControl/>
              <w:spacing w:line="240" w:lineRule="auto"/>
              <w:jc w:val="center"/>
              <w:rPr>
                <w:rFonts w:ascii="宋体" w:hAnsi="宋体" w:eastAsia="宋体" w:cs="Arial"/>
                <w:b/>
                <w:bCs/>
                <w:color w:val="000000"/>
                <w:kern w:val="0"/>
                <w:sz w:val="24"/>
                <w:szCs w:val="24"/>
              </w:rPr>
            </w:pPr>
          </w:p>
          <w:p w14:paraId="71CE7963">
            <w:pPr>
              <w:widowControl/>
              <w:spacing w:line="240" w:lineRule="auto"/>
              <w:jc w:val="center"/>
              <w:rPr>
                <w:rFonts w:ascii="宋体" w:hAnsi="宋体" w:eastAsia="宋体" w:cs="Arial"/>
                <w:b/>
                <w:bCs/>
                <w:color w:val="000000"/>
                <w:kern w:val="0"/>
                <w:sz w:val="24"/>
                <w:szCs w:val="24"/>
              </w:rPr>
            </w:pPr>
            <w:r>
              <w:rPr>
                <w:rFonts w:hint="eastAsia" w:ascii="宋体" w:hAnsi="宋体" w:eastAsia="宋体" w:cs="Arial"/>
                <w:b/>
                <w:bCs/>
                <w:color w:val="000000"/>
                <w:kern w:val="0"/>
                <w:sz w:val="24"/>
                <w:szCs w:val="24"/>
              </w:rPr>
              <w:t>部门（单位）整体绩效评价表</w:t>
            </w:r>
          </w:p>
        </w:tc>
      </w:tr>
      <w:tr w14:paraId="50A5FBAE">
        <w:tblPrEx>
          <w:tblCellMar>
            <w:top w:w="0" w:type="dxa"/>
            <w:left w:w="108" w:type="dxa"/>
            <w:bottom w:w="0" w:type="dxa"/>
            <w:right w:w="108" w:type="dxa"/>
          </w:tblCellMar>
        </w:tblPrEx>
        <w:trPr>
          <w:trHeight w:val="559" w:hRule="atLeast"/>
        </w:trPr>
        <w:tc>
          <w:tcPr>
            <w:tcW w:w="2128" w:type="dxa"/>
            <w:tcBorders>
              <w:top w:val="single" w:color="auto" w:sz="4" w:space="0"/>
              <w:left w:val="single" w:color="auto" w:sz="4" w:space="0"/>
              <w:bottom w:val="single" w:color="auto" w:sz="4" w:space="0"/>
              <w:right w:val="single" w:color="auto" w:sz="4" w:space="0"/>
            </w:tcBorders>
            <w:shd w:val="clear" w:color="000000" w:fill="FFFFFF"/>
            <w:vAlign w:val="center"/>
          </w:tcPr>
          <w:p w14:paraId="50B89DE4">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部门名称</w:t>
            </w:r>
          </w:p>
        </w:tc>
        <w:tc>
          <w:tcPr>
            <w:tcW w:w="12164" w:type="dxa"/>
            <w:gridSpan w:val="7"/>
            <w:tcBorders>
              <w:top w:val="single" w:color="auto" w:sz="4" w:space="0"/>
              <w:left w:val="nil"/>
              <w:bottom w:val="single" w:color="auto" w:sz="4" w:space="0"/>
              <w:right w:val="single" w:color="auto" w:sz="4" w:space="0"/>
            </w:tcBorders>
            <w:shd w:val="clear" w:color="auto" w:fill="auto"/>
            <w:vAlign w:val="center"/>
          </w:tcPr>
          <w:p w14:paraId="16805CF0">
            <w:pPr>
              <w:widowControl/>
              <w:spacing w:line="240" w:lineRule="auto"/>
              <w:jc w:val="center"/>
              <w:rPr>
                <w:rFonts w:hint="default" w:ascii="宋体" w:hAnsi="宋体" w:eastAsia="宋体" w:cs="Arial"/>
                <w:color w:val="000000"/>
                <w:kern w:val="0"/>
                <w:sz w:val="22"/>
                <w:lang w:val="en-US" w:eastAsia="zh-CN"/>
              </w:rPr>
            </w:pPr>
            <w:r>
              <w:rPr>
                <w:rFonts w:hint="eastAsia" w:ascii="宋体" w:hAnsi="宋体" w:eastAsia="宋体" w:cs="Arial"/>
                <w:color w:val="000000"/>
                <w:kern w:val="0"/>
                <w:sz w:val="22"/>
              </w:rPr>
              <w:t>临泽县</w:t>
            </w:r>
            <w:r>
              <w:rPr>
                <w:rFonts w:hint="eastAsia" w:ascii="宋体" w:hAnsi="宋体" w:eastAsia="宋体" w:cs="Arial"/>
                <w:color w:val="000000"/>
                <w:kern w:val="0"/>
                <w:sz w:val="22"/>
                <w:lang w:val="en-US" w:eastAsia="zh-CN"/>
              </w:rPr>
              <w:t>机关事务中心</w:t>
            </w:r>
          </w:p>
        </w:tc>
      </w:tr>
      <w:tr w14:paraId="77C0F6BD">
        <w:tblPrEx>
          <w:tblCellMar>
            <w:top w:w="0" w:type="dxa"/>
            <w:left w:w="108" w:type="dxa"/>
            <w:bottom w:w="0" w:type="dxa"/>
            <w:right w:w="108" w:type="dxa"/>
          </w:tblCellMar>
        </w:tblPrEx>
        <w:trPr>
          <w:trHeight w:val="540" w:hRule="atLeast"/>
        </w:trPr>
        <w:tc>
          <w:tcPr>
            <w:tcW w:w="2128" w:type="dxa"/>
            <w:vMerge w:val="restart"/>
            <w:tcBorders>
              <w:top w:val="nil"/>
              <w:left w:val="single" w:color="auto" w:sz="4" w:space="0"/>
              <w:bottom w:val="single" w:color="000000" w:sz="4" w:space="0"/>
              <w:right w:val="single" w:color="auto" w:sz="4" w:space="0"/>
            </w:tcBorders>
            <w:shd w:val="clear" w:color="auto" w:fill="auto"/>
            <w:noWrap/>
            <w:vAlign w:val="center"/>
          </w:tcPr>
          <w:p w14:paraId="2423FD3C">
            <w:pPr>
              <w:widowControl/>
              <w:spacing w:line="240" w:lineRule="auto"/>
              <w:jc w:val="center"/>
              <w:rPr>
                <w:rFonts w:ascii="宋体" w:hAnsi="宋体" w:eastAsia="宋体" w:cs="Arial"/>
                <w:kern w:val="0"/>
                <w:sz w:val="22"/>
              </w:rPr>
            </w:pPr>
            <w:r>
              <w:rPr>
                <w:rFonts w:hint="eastAsia" w:ascii="宋体" w:hAnsi="宋体" w:eastAsia="宋体" w:cs="Arial"/>
                <w:kern w:val="0"/>
                <w:sz w:val="22"/>
              </w:rPr>
              <w:t>年度计划完成情况</w:t>
            </w:r>
          </w:p>
        </w:tc>
        <w:tc>
          <w:tcPr>
            <w:tcW w:w="2502" w:type="dxa"/>
            <w:tcBorders>
              <w:top w:val="nil"/>
              <w:left w:val="nil"/>
              <w:bottom w:val="single" w:color="auto" w:sz="4" w:space="0"/>
              <w:right w:val="single" w:color="auto" w:sz="4" w:space="0"/>
            </w:tcBorders>
            <w:shd w:val="clear" w:color="auto" w:fill="auto"/>
            <w:vAlign w:val="center"/>
          </w:tcPr>
          <w:p w14:paraId="564B7E5A">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工作任务名称</w:t>
            </w:r>
          </w:p>
        </w:tc>
        <w:tc>
          <w:tcPr>
            <w:tcW w:w="2225" w:type="dxa"/>
            <w:tcBorders>
              <w:top w:val="nil"/>
              <w:left w:val="nil"/>
              <w:bottom w:val="single" w:color="auto" w:sz="4" w:space="0"/>
              <w:right w:val="single" w:color="auto" w:sz="4" w:space="0"/>
            </w:tcBorders>
            <w:shd w:val="clear" w:color="auto" w:fill="auto"/>
            <w:vAlign w:val="center"/>
          </w:tcPr>
          <w:p w14:paraId="4D2AF7F0">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完成情况</w:t>
            </w:r>
          </w:p>
        </w:tc>
        <w:tc>
          <w:tcPr>
            <w:tcW w:w="1264" w:type="dxa"/>
            <w:tcBorders>
              <w:top w:val="nil"/>
              <w:left w:val="nil"/>
              <w:bottom w:val="single" w:color="auto" w:sz="4" w:space="0"/>
              <w:right w:val="single" w:color="auto" w:sz="4" w:space="0"/>
            </w:tcBorders>
            <w:shd w:val="clear" w:color="auto" w:fill="auto"/>
            <w:vAlign w:val="center"/>
          </w:tcPr>
          <w:p w14:paraId="71829B67">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预算数（元）</w:t>
            </w:r>
          </w:p>
        </w:tc>
        <w:tc>
          <w:tcPr>
            <w:tcW w:w="1760" w:type="dxa"/>
            <w:tcBorders>
              <w:top w:val="nil"/>
              <w:left w:val="nil"/>
              <w:bottom w:val="single" w:color="auto" w:sz="4" w:space="0"/>
              <w:right w:val="single" w:color="auto" w:sz="4" w:space="0"/>
            </w:tcBorders>
            <w:shd w:val="clear" w:color="auto" w:fill="auto"/>
            <w:vAlign w:val="center"/>
          </w:tcPr>
          <w:p w14:paraId="25C43064">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其中：财政拨款</w:t>
            </w:r>
          </w:p>
        </w:tc>
        <w:tc>
          <w:tcPr>
            <w:tcW w:w="1829" w:type="dxa"/>
            <w:tcBorders>
              <w:top w:val="nil"/>
              <w:left w:val="nil"/>
              <w:bottom w:val="single" w:color="auto" w:sz="4" w:space="0"/>
              <w:right w:val="single" w:color="auto" w:sz="4" w:space="0"/>
            </w:tcBorders>
            <w:shd w:val="clear" w:color="auto" w:fill="auto"/>
            <w:vAlign w:val="center"/>
          </w:tcPr>
          <w:p w14:paraId="1AAED624">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执行数（元）</w:t>
            </w:r>
          </w:p>
        </w:tc>
        <w:tc>
          <w:tcPr>
            <w:tcW w:w="2584" w:type="dxa"/>
            <w:gridSpan w:val="2"/>
            <w:tcBorders>
              <w:top w:val="single" w:color="auto" w:sz="4" w:space="0"/>
              <w:left w:val="nil"/>
              <w:bottom w:val="single" w:color="auto" w:sz="4" w:space="0"/>
              <w:right w:val="single" w:color="auto" w:sz="4" w:space="0"/>
            </w:tcBorders>
            <w:shd w:val="clear" w:color="auto" w:fill="auto"/>
            <w:vAlign w:val="center"/>
          </w:tcPr>
          <w:p w14:paraId="4949F3BB">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其中：财政拨款</w:t>
            </w:r>
          </w:p>
        </w:tc>
      </w:tr>
      <w:tr w14:paraId="1D842AC6">
        <w:tblPrEx>
          <w:tblCellMar>
            <w:top w:w="0" w:type="dxa"/>
            <w:left w:w="108" w:type="dxa"/>
            <w:bottom w:w="0" w:type="dxa"/>
            <w:right w:w="108" w:type="dxa"/>
          </w:tblCellMar>
        </w:tblPrEx>
        <w:trPr>
          <w:trHeight w:val="540" w:hRule="atLeast"/>
        </w:trPr>
        <w:tc>
          <w:tcPr>
            <w:tcW w:w="2128" w:type="dxa"/>
            <w:vMerge w:val="continue"/>
            <w:tcBorders>
              <w:top w:val="nil"/>
              <w:left w:val="single" w:color="auto" w:sz="4" w:space="0"/>
              <w:bottom w:val="single" w:color="000000" w:sz="4" w:space="0"/>
              <w:right w:val="single" w:color="auto" w:sz="4" w:space="0"/>
            </w:tcBorders>
            <w:vAlign w:val="center"/>
          </w:tcPr>
          <w:p w14:paraId="321CE720">
            <w:pPr>
              <w:widowControl/>
              <w:spacing w:line="240" w:lineRule="auto"/>
              <w:jc w:val="left"/>
              <w:rPr>
                <w:rFonts w:ascii="宋体" w:hAnsi="宋体" w:eastAsia="宋体" w:cs="Arial"/>
                <w:kern w:val="0"/>
                <w:sz w:val="22"/>
              </w:rPr>
            </w:pPr>
          </w:p>
        </w:tc>
        <w:tc>
          <w:tcPr>
            <w:tcW w:w="2502" w:type="dxa"/>
            <w:tcBorders>
              <w:top w:val="nil"/>
              <w:left w:val="nil"/>
              <w:bottom w:val="single" w:color="auto" w:sz="4" w:space="0"/>
              <w:right w:val="single" w:color="auto" w:sz="4" w:space="0"/>
            </w:tcBorders>
            <w:shd w:val="clear" w:color="auto" w:fill="auto"/>
            <w:vAlign w:val="center"/>
          </w:tcPr>
          <w:p w14:paraId="0F467EB8">
            <w:pPr>
              <w:widowControl/>
              <w:spacing w:line="240" w:lineRule="auto"/>
              <w:jc w:val="left"/>
              <w:rPr>
                <w:rFonts w:ascii="宋体" w:hAnsi="宋体" w:eastAsia="宋体" w:cs="Arial"/>
                <w:color w:val="000000"/>
                <w:kern w:val="0"/>
                <w:sz w:val="22"/>
              </w:rPr>
            </w:pPr>
            <w:r>
              <w:rPr>
                <w:rFonts w:hint="eastAsia" w:ascii="宋体" w:hAnsi="宋体" w:eastAsia="宋体" w:cs="Arial"/>
                <w:color w:val="000000"/>
                <w:kern w:val="0"/>
                <w:sz w:val="22"/>
              </w:rPr>
              <w:t>2023年度部门总体预算</w:t>
            </w:r>
          </w:p>
        </w:tc>
        <w:tc>
          <w:tcPr>
            <w:tcW w:w="2225" w:type="dxa"/>
            <w:tcBorders>
              <w:top w:val="nil"/>
              <w:left w:val="nil"/>
              <w:bottom w:val="single" w:color="auto" w:sz="4" w:space="0"/>
              <w:right w:val="single" w:color="auto" w:sz="4" w:space="0"/>
            </w:tcBorders>
            <w:shd w:val="clear" w:color="auto" w:fill="auto"/>
            <w:vAlign w:val="center"/>
          </w:tcPr>
          <w:p w14:paraId="2419D311">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100%</w:t>
            </w:r>
          </w:p>
        </w:tc>
        <w:tc>
          <w:tcPr>
            <w:tcW w:w="1264" w:type="dxa"/>
            <w:tcBorders>
              <w:top w:val="nil"/>
              <w:left w:val="nil"/>
              <w:bottom w:val="single" w:color="auto" w:sz="4" w:space="0"/>
              <w:right w:val="single" w:color="auto" w:sz="4" w:space="0"/>
            </w:tcBorders>
            <w:shd w:val="clear" w:color="auto" w:fill="auto"/>
            <w:vAlign w:val="center"/>
          </w:tcPr>
          <w:p w14:paraId="1037C0B2">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9548199.71</w:t>
            </w:r>
          </w:p>
        </w:tc>
        <w:tc>
          <w:tcPr>
            <w:tcW w:w="1760" w:type="dxa"/>
            <w:tcBorders>
              <w:top w:val="nil"/>
              <w:left w:val="nil"/>
              <w:bottom w:val="single" w:color="auto" w:sz="4" w:space="0"/>
              <w:right w:val="single" w:color="auto" w:sz="4" w:space="0"/>
            </w:tcBorders>
            <w:shd w:val="clear" w:color="auto" w:fill="auto"/>
            <w:vAlign w:val="center"/>
          </w:tcPr>
          <w:p w14:paraId="5A0F4C95">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9548199.71</w:t>
            </w:r>
          </w:p>
        </w:tc>
        <w:tc>
          <w:tcPr>
            <w:tcW w:w="1829" w:type="dxa"/>
            <w:tcBorders>
              <w:top w:val="nil"/>
              <w:left w:val="nil"/>
              <w:bottom w:val="single" w:color="auto" w:sz="4" w:space="0"/>
              <w:right w:val="single" w:color="auto" w:sz="4" w:space="0"/>
            </w:tcBorders>
            <w:shd w:val="clear" w:color="auto" w:fill="auto"/>
            <w:vAlign w:val="center"/>
          </w:tcPr>
          <w:p w14:paraId="7AD08667">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9548199.71</w:t>
            </w:r>
          </w:p>
        </w:tc>
        <w:tc>
          <w:tcPr>
            <w:tcW w:w="2584" w:type="dxa"/>
            <w:gridSpan w:val="2"/>
            <w:tcBorders>
              <w:top w:val="single" w:color="auto" w:sz="4" w:space="0"/>
              <w:left w:val="nil"/>
              <w:bottom w:val="single" w:color="auto" w:sz="4" w:space="0"/>
              <w:right w:val="single" w:color="auto" w:sz="4" w:space="0"/>
            </w:tcBorders>
            <w:shd w:val="clear" w:color="auto" w:fill="auto"/>
            <w:vAlign w:val="center"/>
          </w:tcPr>
          <w:p w14:paraId="5DF59F56">
            <w:pPr>
              <w:widowControl/>
              <w:spacing w:line="240" w:lineRule="auto"/>
              <w:jc w:val="center"/>
              <w:rPr>
                <w:rFonts w:ascii="宋体" w:hAnsi="宋体" w:eastAsia="宋体" w:cs="Arial"/>
                <w:color w:val="000000"/>
                <w:kern w:val="0"/>
                <w:sz w:val="22"/>
              </w:rPr>
            </w:pPr>
            <w:r>
              <w:rPr>
                <w:rFonts w:hint="eastAsia" w:ascii="宋体" w:hAnsi="宋体" w:eastAsia="宋体" w:cs="Arial"/>
                <w:color w:val="000000"/>
                <w:kern w:val="0"/>
                <w:sz w:val="22"/>
              </w:rPr>
              <w:t>9548199.71</w:t>
            </w:r>
          </w:p>
        </w:tc>
      </w:tr>
      <w:tr w14:paraId="725483AE">
        <w:tblPrEx>
          <w:tblCellMar>
            <w:top w:w="0" w:type="dxa"/>
            <w:left w:w="108" w:type="dxa"/>
            <w:bottom w:w="0" w:type="dxa"/>
            <w:right w:w="108" w:type="dxa"/>
          </w:tblCellMar>
        </w:tblPrEx>
        <w:trPr>
          <w:trHeight w:val="540" w:hRule="atLeast"/>
        </w:trPr>
        <w:tc>
          <w:tcPr>
            <w:tcW w:w="2128" w:type="dxa"/>
            <w:tcBorders>
              <w:top w:val="nil"/>
              <w:left w:val="single" w:color="auto" w:sz="4" w:space="0"/>
              <w:bottom w:val="single" w:color="auto" w:sz="4" w:space="0"/>
              <w:right w:val="single" w:color="auto" w:sz="4" w:space="0"/>
            </w:tcBorders>
            <w:shd w:val="clear" w:color="auto" w:fill="auto"/>
            <w:vAlign w:val="center"/>
          </w:tcPr>
          <w:p w14:paraId="6731E9D1">
            <w:pPr>
              <w:widowControl/>
              <w:spacing w:line="240" w:lineRule="auto"/>
              <w:jc w:val="center"/>
              <w:rPr>
                <w:rFonts w:ascii="宋体" w:hAnsi="宋体" w:eastAsia="宋体" w:cs="Arial"/>
                <w:kern w:val="0"/>
                <w:sz w:val="22"/>
              </w:rPr>
            </w:pPr>
            <w:r>
              <w:rPr>
                <w:rFonts w:hint="eastAsia" w:ascii="宋体" w:hAnsi="宋体" w:eastAsia="宋体" w:cs="Arial"/>
                <w:kern w:val="0"/>
                <w:sz w:val="22"/>
              </w:rPr>
              <w:t>一级指标</w:t>
            </w:r>
          </w:p>
        </w:tc>
        <w:tc>
          <w:tcPr>
            <w:tcW w:w="2502" w:type="dxa"/>
            <w:tcBorders>
              <w:top w:val="nil"/>
              <w:left w:val="nil"/>
              <w:bottom w:val="single" w:color="auto" w:sz="4" w:space="0"/>
              <w:right w:val="single" w:color="auto" w:sz="4" w:space="0"/>
            </w:tcBorders>
            <w:shd w:val="clear" w:color="auto" w:fill="auto"/>
            <w:vAlign w:val="center"/>
          </w:tcPr>
          <w:p w14:paraId="77F6DE39">
            <w:pPr>
              <w:widowControl/>
              <w:spacing w:line="240" w:lineRule="auto"/>
              <w:jc w:val="center"/>
              <w:rPr>
                <w:rFonts w:ascii="宋体" w:hAnsi="宋体" w:eastAsia="宋体" w:cs="Arial"/>
                <w:kern w:val="0"/>
                <w:sz w:val="22"/>
              </w:rPr>
            </w:pPr>
            <w:r>
              <w:rPr>
                <w:rFonts w:hint="eastAsia" w:ascii="宋体" w:hAnsi="宋体" w:eastAsia="宋体" w:cs="Arial"/>
                <w:kern w:val="0"/>
                <w:sz w:val="22"/>
              </w:rPr>
              <w:t>二级指标</w:t>
            </w:r>
          </w:p>
        </w:tc>
        <w:tc>
          <w:tcPr>
            <w:tcW w:w="2225" w:type="dxa"/>
            <w:tcBorders>
              <w:top w:val="nil"/>
              <w:left w:val="nil"/>
              <w:bottom w:val="single" w:color="auto" w:sz="4" w:space="0"/>
              <w:right w:val="single" w:color="auto" w:sz="4" w:space="0"/>
            </w:tcBorders>
            <w:shd w:val="clear" w:color="auto" w:fill="auto"/>
            <w:vAlign w:val="center"/>
          </w:tcPr>
          <w:p w14:paraId="7CF138C3">
            <w:pPr>
              <w:widowControl/>
              <w:spacing w:line="240" w:lineRule="auto"/>
              <w:jc w:val="center"/>
              <w:rPr>
                <w:rFonts w:ascii="宋体" w:hAnsi="宋体" w:eastAsia="宋体" w:cs="Arial"/>
                <w:kern w:val="0"/>
                <w:sz w:val="22"/>
              </w:rPr>
            </w:pPr>
            <w:r>
              <w:rPr>
                <w:rFonts w:hint="eastAsia" w:ascii="宋体" w:hAnsi="宋体" w:eastAsia="宋体" w:cs="Arial"/>
                <w:kern w:val="0"/>
                <w:sz w:val="22"/>
              </w:rPr>
              <w:t>目标指标</w:t>
            </w:r>
          </w:p>
        </w:tc>
        <w:tc>
          <w:tcPr>
            <w:tcW w:w="1264" w:type="dxa"/>
            <w:tcBorders>
              <w:top w:val="nil"/>
              <w:left w:val="nil"/>
              <w:bottom w:val="single" w:color="auto" w:sz="4" w:space="0"/>
              <w:right w:val="single" w:color="auto" w:sz="4" w:space="0"/>
            </w:tcBorders>
            <w:shd w:val="clear" w:color="auto" w:fill="auto"/>
            <w:vAlign w:val="center"/>
          </w:tcPr>
          <w:p w14:paraId="7974A3DF">
            <w:pPr>
              <w:widowControl/>
              <w:spacing w:line="240" w:lineRule="auto"/>
              <w:jc w:val="center"/>
              <w:rPr>
                <w:rFonts w:ascii="宋体" w:hAnsi="宋体" w:eastAsia="宋体" w:cs="Arial"/>
                <w:kern w:val="0"/>
                <w:sz w:val="22"/>
              </w:rPr>
            </w:pPr>
            <w:r>
              <w:rPr>
                <w:rFonts w:hint="eastAsia" w:ascii="宋体" w:hAnsi="宋体" w:eastAsia="宋体" w:cs="Arial"/>
                <w:kern w:val="0"/>
                <w:sz w:val="22"/>
              </w:rPr>
              <w:t>权重</w:t>
            </w:r>
          </w:p>
        </w:tc>
        <w:tc>
          <w:tcPr>
            <w:tcW w:w="1760" w:type="dxa"/>
            <w:tcBorders>
              <w:top w:val="nil"/>
              <w:left w:val="nil"/>
              <w:bottom w:val="single" w:color="auto" w:sz="4" w:space="0"/>
              <w:right w:val="single" w:color="auto" w:sz="4" w:space="0"/>
            </w:tcBorders>
            <w:shd w:val="clear" w:color="auto" w:fill="auto"/>
            <w:noWrap/>
            <w:vAlign w:val="center"/>
          </w:tcPr>
          <w:p w14:paraId="3CFB320A">
            <w:pPr>
              <w:widowControl/>
              <w:spacing w:line="240" w:lineRule="auto"/>
              <w:jc w:val="center"/>
              <w:rPr>
                <w:rFonts w:ascii="宋体" w:hAnsi="宋体" w:eastAsia="宋体" w:cs="Arial"/>
                <w:kern w:val="0"/>
                <w:sz w:val="22"/>
              </w:rPr>
            </w:pPr>
            <w:r>
              <w:rPr>
                <w:rFonts w:hint="eastAsia" w:ascii="宋体" w:hAnsi="宋体" w:eastAsia="宋体" w:cs="Arial"/>
                <w:kern w:val="0"/>
                <w:sz w:val="22"/>
              </w:rPr>
              <w:t>目标值</w:t>
            </w:r>
          </w:p>
        </w:tc>
        <w:tc>
          <w:tcPr>
            <w:tcW w:w="1829" w:type="dxa"/>
            <w:tcBorders>
              <w:top w:val="nil"/>
              <w:left w:val="nil"/>
              <w:bottom w:val="single" w:color="auto" w:sz="4" w:space="0"/>
              <w:right w:val="single" w:color="auto" w:sz="4" w:space="0"/>
            </w:tcBorders>
            <w:shd w:val="clear" w:color="auto" w:fill="auto"/>
            <w:noWrap/>
            <w:vAlign w:val="center"/>
          </w:tcPr>
          <w:p w14:paraId="3AFB6594">
            <w:pPr>
              <w:widowControl/>
              <w:spacing w:line="240" w:lineRule="auto"/>
              <w:jc w:val="center"/>
              <w:rPr>
                <w:rFonts w:ascii="宋体" w:hAnsi="宋体" w:eastAsia="宋体" w:cs="Arial"/>
                <w:kern w:val="0"/>
                <w:sz w:val="22"/>
              </w:rPr>
            </w:pPr>
            <w:r>
              <w:rPr>
                <w:rFonts w:hint="eastAsia" w:ascii="宋体" w:hAnsi="宋体" w:eastAsia="宋体" w:cs="Arial"/>
                <w:kern w:val="0"/>
                <w:sz w:val="22"/>
              </w:rPr>
              <w:t>业绩值</w:t>
            </w:r>
          </w:p>
        </w:tc>
        <w:tc>
          <w:tcPr>
            <w:tcW w:w="1352" w:type="dxa"/>
            <w:tcBorders>
              <w:top w:val="nil"/>
              <w:left w:val="nil"/>
              <w:bottom w:val="single" w:color="auto" w:sz="4" w:space="0"/>
              <w:right w:val="single" w:color="auto" w:sz="4" w:space="0"/>
            </w:tcBorders>
            <w:shd w:val="clear" w:color="auto" w:fill="auto"/>
            <w:noWrap/>
            <w:vAlign w:val="center"/>
          </w:tcPr>
          <w:p w14:paraId="027D4357">
            <w:pPr>
              <w:widowControl/>
              <w:spacing w:line="240" w:lineRule="auto"/>
              <w:jc w:val="center"/>
              <w:rPr>
                <w:rFonts w:ascii="宋体" w:hAnsi="宋体" w:eastAsia="宋体" w:cs="Arial"/>
                <w:kern w:val="0"/>
                <w:sz w:val="22"/>
              </w:rPr>
            </w:pPr>
            <w:r>
              <w:rPr>
                <w:rFonts w:hint="eastAsia" w:ascii="宋体" w:hAnsi="宋体" w:eastAsia="宋体" w:cs="Arial"/>
                <w:kern w:val="0"/>
                <w:sz w:val="22"/>
              </w:rPr>
              <w:t>完成率</w:t>
            </w:r>
          </w:p>
        </w:tc>
        <w:tc>
          <w:tcPr>
            <w:tcW w:w="1232" w:type="dxa"/>
            <w:tcBorders>
              <w:top w:val="nil"/>
              <w:left w:val="nil"/>
              <w:bottom w:val="single" w:color="auto" w:sz="4" w:space="0"/>
              <w:right w:val="single" w:color="auto" w:sz="4" w:space="0"/>
            </w:tcBorders>
            <w:shd w:val="clear" w:color="auto" w:fill="auto"/>
            <w:noWrap/>
            <w:vAlign w:val="center"/>
          </w:tcPr>
          <w:p w14:paraId="3D64848F">
            <w:pPr>
              <w:widowControl/>
              <w:spacing w:line="240" w:lineRule="auto"/>
              <w:jc w:val="center"/>
              <w:rPr>
                <w:rFonts w:ascii="宋体" w:hAnsi="宋体" w:eastAsia="宋体" w:cs="Arial"/>
                <w:kern w:val="0"/>
                <w:sz w:val="22"/>
              </w:rPr>
            </w:pPr>
            <w:r>
              <w:rPr>
                <w:rFonts w:hint="eastAsia" w:ascii="宋体" w:hAnsi="宋体" w:eastAsia="宋体" w:cs="Arial"/>
                <w:kern w:val="0"/>
                <w:sz w:val="22"/>
              </w:rPr>
              <w:t>指标得分</w:t>
            </w:r>
          </w:p>
        </w:tc>
      </w:tr>
      <w:tr w14:paraId="2CE40FE5">
        <w:tblPrEx>
          <w:tblCellMar>
            <w:top w:w="0" w:type="dxa"/>
            <w:left w:w="108" w:type="dxa"/>
            <w:bottom w:w="0" w:type="dxa"/>
            <w:right w:w="108" w:type="dxa"/>
          </w:tblCellMar>
        </w:tblPrEx>
        <w:trPr>
          <w:trHeight w:val="402" w:hRule="atLeast"/>
        </w:trPr>
        <w:tc>
          <w:tcPr>
            <w:tcW w:w="2128" w:type="dxa"/>
            <w:vMerge w:val="restart"/>
            <w:tcBorders>
              <w:top w:val="nil"/>
              <w:left w:val="single" w:color="auto" w:sz="4" w:space="0"/>
              <w:bottom w:val="single" w:color="auto" w:sz="4" w:space="0"/>
              <w:right w:val="single" w:color="auto" w:sz="4" w:space="0"/>
            </w:tcBorders>
            <w:shd w:val="clear" w:color="000000" w:fill="FFFFFF"/>
            <w:noWrap/>
            <w:vAlign w:val="center"/>
          </w:tcPr>
          <w:p w14:paraId="76ACB46D">
            <w:pPr>
              <w:widowControl/>
              <w:spacing w:line="240" w:lineRule="auto"/>
              <w:jc w:val="center"/>
              <w:rPr>
                <w:rFonts w:ascii="宋体" w:hAnsi="宋体" w:eastAsia="宋体" w:cs="Arial"/>
                <w:color w:val="333333"/>
                <w:kern w:val="0"/>
                <w:sz w:val="18"/>
                <w:szCs w:val="18"/>
              </w:rPr>
            </w:pPr>
            <w:r>
              <w:rPr>
                <w:rFonts w:hint="eastAsia" w:ascii="宋体" w:hAnsi="宋体" w:eastAsia="宋体" w:cs="Arial"/>
                <w:color w:val="333333"/>
                <w:kern w:val="0"/>
                <w:sz w:val="18"/>
                <w:szCs w:val="18"/>
              </w:rPr>
              <w:t>部门管理</w:t>
            </w:r>
          </w:p>
        </w:tc>
        <w:tc>
          <w:tcPr>
            <w:tcW w:w="2502" w:type="dxa"/>
            <w:vMerge w:val="restart"/>
            <w:tcBorders>
              <w:top w:val="nil"/>
              <w:left w:val="single" w:color="auto" w:sz="4" w:space="0"/>
              <w:bottom w:val="single" w:color="auto" w:sz="4" w:space="0"/>
              <w:right w:val="single" w:color="auto" w:sz="4" w:space="0"/>
            </w:tcBorders>
            <w:shd w:val="clear" w:color="000000" w:fill="FFFFFF"/>
            <w:noWrap/>
            <w:vAlign w:val="center"/>
          </w:tcPr>
          <w:p w14:paraId="6177202E">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资金投入</w:t>
            </w:r>
          </w:p>
        </w:tc>
        <w:tc>
          <w:tcPr>
            <w:tcW w:w="2225" w:type="dxa"/>
            <w:tcBorders>
              <w:top w:val="nil"/>
              <w:left w:val="nil"/>
              <w:bottom w:val="single" w:color="auto" w:sz="4" w:space="0"/>
              <w:right w:val="single" w:color="auto" w:sz="4" w:space="0"/>
            </w:tcBorders>
            <w:shd w:val="clear" w:color="000000" w:fill="FFFFFF"/>
            <w:noWrap/>
            <w:vAlign w:val="center"/>
          </w:tcPr>
          <w:p w14:paraId="27EFD035">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基本支出预算执行率</w:t>
            </w:r>
          </w:p>
        </w:tc>
        <w:tc>
          <w:tcPr>
            <w:tcW w:w="1264" w:type="dxa"/>
            <w:tcBorders>
              <w:top w:val="nil"/>
              <w:left w:val="nil"/>
              <w:bottom w:val="single" w:color="auto" w:sz="4" w:space="0"/>
              <w:right w:val="single" w:color="auto" w:sz="4" w:space="0"/>
            </w:tcBorders>
            <w:shd w:val="clear" w:color="000000" w:fill="FFFFFF"/>
            <w:noWrap/>
            <w:vAlign w:val="center"/>
          </w:tcPr>
          <w:p w14:paraId="3A2A670A">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c>
          <w:tcPr>
            <w:tcW w:w="1760" w:type="dxa"/>
            <w:tcBorders>
              <w:top w:val="nil"/>
              <w:left w:val="nil"/>
              <w:bottom w:val="single" w:color="auto" w:sz="4" w:space="0"/>
              <w:right w:val="single" w:color="auto" w:sz="4" w:space="0"/>
            </w:tcBorders>
            <w:shd w:val="clear" w:color="000000" w:fill="FFFFFF"/>
            <w:noWrap/>
            <w:vAlign w:val="center"/>
          </w:tcPr>
          <w:p w14:paraId="4D6010AC">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&lt;=100%</w:t>
            </w:r>
          </w:p>
        </w:tc>
        <w:tc>
          <w:tcPr>
            <w:tcW w:w="1829" w:type="dxa"/>
            <w:tcBorders>
              <w:top w:val="nil"/>
              <w:left w:val="nil"/>
              <w:bottom w:val="single" w:color="auto" w:sz="4" w:space="0"/>
              <w:right w:val="single" w:color="auto" w:sz="4" w:space="0"/>
            </w:tcBorders>
            <w:shd w:val="clear" w:color="000000" w:fill="FFFFFF"/>
            <w:noWrap/>
            <w:vAlign w:val="center"/>
          </w:tcPr>
          <w:p w14:paraId="02F1761C">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w:t>
            </w:r>
          </w:p>
        </w:tc>
        <w:tc>
          <w:tcPr>
            <w:tcW w:w="1352" w:type="dxa"/>
            <w:tcBorders>
              <w:top w:val="nil"/>
              <w:left w:val="nil"/>
              <w:bottom w:val="single" w:color="auto" w:sz="4" w:space="0"/>
              <w:right w:val="single" w:color="auto" w:sz="4" w:space="0"/>
            </w:tcBorders>
            <w:shd w:val="clear" w:color="000000" w:fill="FFFFFF"/>
            <w:noWrap/>
            <w:vAlign w:val="center"/>
          </w:tcPr>
          <w:p w14:paraId="4E343206">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100.00%</w:t>
            </w:r>
          </w:p>
        </w:tc>
        <w:tc>
          <w:tcPr>
            <w:tcW w:w="1232" w:type="dxa"/>
            <w:tcBorders>
              <w:top w:val="nil"/>
              <w:left w:val="nil"/>
              <w:bottom w:val="single" w:color="auto" w:sz="4" w:space="0"/>
              <w:right w:val="single" w:color="auto" w:sz="4" w:space="0"/>
            </w:tcBorders>
            <w:shd w:val="clear" w:color="000000" w:fill="FFFFFF"/>
            <w:noWrap/>
            <w:vAlign w:val="center"/>
          </w:tcPr>
          <w:p w14:paraId="3D351C95">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r>
      <w:tr w14:paraId="59C7CEA8">
        <w:tblPrEx>
          <w:tblCellMar>
            <w:top w:w="0" w:type="dxa"/>
            <w:left w:w="108" w:type="dxa"/>
            <w:bottom w:w="0" w:type="dxa"/>
            <w:right w:w="108" w:type="dxa"/>
          </w:tblCellMar>
        </w:tblPrEx>
        <w:trPr>
          <w:trHeight w:val="402" w:hRule="atLeast"/>
        </w:trPr>
        <w:tc>
          <w:tcPr>
            <w:tcW w:w="2128" w:type="dxa"/>
            <w:vMerge w:val="continue"/>
            <w:tcBorders>
              <w:top w:val="nil"/>
              <w:left w:val="single" w:color="auto" w:sz="4" w:space="0"/>
              <w:bottom w:val="single" w:color="auto" w:sz="4" w:space="0"/>
              <w:right w:val="single" w:color="auto" w:sz="4" w:space="0"/>
            </w:tcBorders>
            <w:vAlign w:val="center"/>
          </w:tcPr>
          <w:p w14:paraId="1C659D2E">
            <w:pPr>
              <w:widowControl/>
              <w:spacing w:line="240" w:lineRule="auto"/>
              <w:jc w:val="left"/>
              <w:rPr>
                <w:rFonts w:ascii="宋体" w:hAnsi="宋体" w:eastAsia="宋体" w:cs="Arial"/>
                <w:color w:val="333333"/>
                <w:kern w:val="0"/>
                <w:sz w:val="18"/>
                <w:szCs w:val="18"/>
              </w:rPr>
            </w:pPr>
          </w:p>
        </w:tc>
        <w:tc>
          <w:tcPr>
            <w:tcW w:w="2502" w:type="dxa"/>
            <w:vMerge w:val="continue"/>
            <w:tcBorders>
              <w:top w:val="nil"/>
              <w:left w:val="single" w:color="auto" w:sz="4" w:space="0"/>
              <w:bottom w:val="single" w:color="auto" w:sz="4" w:space="0"/>
              <w:right w:val="single" w:color="auto" w:sz="4" w:space="0"/>
            </w:tcBorders>
            <w:vAlign w:val="center"/>
          </w:tcPr>
          <w:p w14:paraId="7905D478">
            <w:pPr>
              <w:widowControl/>
              <w:spacing w:line="240" w:lineRule="auto"/>
              <w:jc w:val="left"/>
              <w:rPr>
                <w:rFonts w:ascii="宋体" w:hAnsi="宋体" w:eastAsia="宋体" w:cs="Arial"/>
                <w:color w:val="333333"/>
                <w:kern w:val="0"/>
                <w:sz w:val="18"/>
                <w:szCs w:val="18"/>
              </w:rPr>
            </w:pPr>
          </w:p>
        </w:tc>
        <w:tc>
          <w:tcPr>
            <w:tcW w:w="2225" w:type="dxa"/>
            <w:tcBorders>
              <w:top w:val="nil"/>
              <w:left w:val="nil"/>
              <w:bottom w:val="single" w:color="auto" w:sz="4" w:space="0"/>
              <w:right w:val="single" w:color="auto" w:sz="4" w:space="0"/>
            </w:tcBorders>
            <w:shd w:val="clear" w:color="000000" w:fill="FFFFFF"/>
            <w:noWrap/>
            <w:vAlign w:val="center"/>
          </w:tcPr>
          <w:p w14:paraId="1244F186">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项目支出预算执行率</w:t>
            </w:r>
          </w:p>
        </w:tc>
        <w:tc>
          <w:tcPr>
            <w:tcW w:w="1264" w:type="dxa"/>
            <w:tcBorders>
              <w:top w:val="nil"/>
              <w:left w:val="nil"/>
              <w:bottom w:val="single" w:color="auto" w:sz="4" w:space="0"/>
              <w:right w:val="single" w:color="auto" w:sz="4" w:space="0"/>
            </w:tcBorders>
            <w:shd w:val="clear" w:color="000000" w:fill="FFFFFF"/>
            <w:noWrap/>
            <w:vAlign w:val="center"/>
          </w:tcPr>
          <w:p w14:paraId="0924366B">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c>
          <w:tcPr>
            <w:tcW w:w="1760" w:type="dxa"/>
            <w:tcBorders>
              <w:top w:val="nil"/>
              <w:left w:val="nil"/>
              <w:bottom w:val="single" w:color="auto" w:sz="4" w:space="0"/>
              <w:right w:val="single" w:color="auto" w:sz="4" w:space="0"/>
            </w:tcBorders>
            <w:shd w:val="clear" w:color="000000" w:fill="FFFFFF"/>
            <w:noWrap/>
            <w:vAlign w:val="center"/>
          </w:tcPr>
          <w:p w14:paraId="1207B775">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w:t>
            </w:r>
          </w:p>
        </w:tc>
        <w:tc>
          <w:tcPr>
            <w:tcW w:w="1829" w:type="dxa"/>
            <w:tcBorders>
              <w:top w:val="nil"/>
              <w:left w:val="nil"/>
              <w:bottom w:val="single" w:color="auto" w:sz="4" w:space="0"/>
              <w:right w:val="single" w:color="auto" w:sz="4" w:space="0"/>
            </w:tcBorders>
            <w:shd w:val="clear" w:color="000000" w:fill="FFFFFF"/>
            <w:noWrap/>
            <w:vAlign w:val="center"/>
          </w:tcPr>
          <w:p w14:paraId="68175D73">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w:t>
            </w:r>
          </w:p>
        </w:tc>
        <w:tc>
          <w:tcPr>
            <w:tcW w:w="1352" w:type="dxa"/>
            <w:tcBorders>
              <w:top w:val="nil"/>
              <w:left w:val="nil"/>
              <w:bottom w:val="single" w:color="auto" w:sz="4" w:space="0"/>
              <w:right w:val="single" w:color="auto" w:sz="4" w:space="0"/>
            </w:tcBorders>
            <w:shd w:val="clear" w:color="000000" w:fill="FFFFFF"/>
            <w:noWrap/>
            <w:vAlign w:val="center"/>
          </w:tcPr>
          <w:p w14:paraId="0D68EA9D">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100.00%</w:t>
            </w:r>
          </w:p>
        </w:tc>
        <w:tc>
          <w:tcPr>
            <w:tcW w:w="1232" w:type="dxa"/>
            <w:tcBorders>
              <w:top w:val="nil"/>
              <w:left w:val="nil"/>
              <w:bottom w:val="single" w:color="auto" w:sz="4" w:space="0"/>
              <w:right w:val="single" w:color="auto" w:sz="4" w:space="0"/>
            </w:tcBorders>
            <w:shd w:val="clear" w:color="000000" w:fill="FFFFFF"/>
            <w:noWrap/>
            <w:vAlign w:val="center"/>
          </w:tcPr>
          <w:p w14:paraId="1D78DF08">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r>
      <w:tr w14:paraId="1EC12079">
        <w:tblPrEx>
          <w:tblCellMar>
            <w:top w:w="0" w:type="dxa"/>
            <w:left w:w="108" w:type="dxa"/>
            <w:bottom w:w="0" w:type="dxa"/>
            <w:right w:w="108" w:type="dxa"/>
          </w:tblCellMar>
        </w:tblPrEx>
        <w:trPr>
          <w:trHeight w:val="402" w:hRule="atLeast"/>
        </w:trPr>
        <w:tc>
          <w:tcPr>
            <w:tcW w:w="2128" w:type="dxa"/>
            <w:vMerge w:val="continue"/>
            <w:tcBorders>
              <w:top w:val="nil"/>
              <w:left w:val="single" w:color="auto" w:sz="4" w:space="0"/>
              <w:bottom w:val="single" w:color="auto" w:sz="4" w:space="0"/>
              <w:right w:val="single" w:color="auto" w:sz="4" w:space="0"/>
            </w:tcBorders>
            <w:vAlign w:val="center"/>
          </w:tcPr>
          <w:p w14:paraId="4AEF8674">
            <w:pPr>
              <w:widowControl/>
              <w:spacing w:line="240" w:lineRule="auto"/>
              <w:jc w:val="left"/>
              <w:rPr>
                <w:rFonts w:ascii="宋体" w:hAnsi="宋体" w:eastAsia="宋体" w:cs="Arial"/>
                <w:color w:val="333333"/>
                <w:kern w:val="0"/>
                <w:sz w:val="18"/>
                <w:szCs w:val="18"/>
              </w:rPr>
            </w:pPr>
          </w:p>
        </w:tc>
        <w:tc>
          <w:tcPr>
            <w:tcW w:w="2502" w:type="dxa"/>
            <w:vMerge w:val="continue"/>
            <w:tcBorders>
              <w:top w:val="nil"/>
              <w:left w:val="single" w:color="auto" w:sz="4" w:space="0"/>
              <w:bottom w:val="single" w:color="auto" w:sz="4" w:space="0"/>
              <w:right w:val="single" w:color="auto" w:sz="4" w:space="0"/>
            </w:tcBorders>
            <w:vAlign w:val="center"/>
          </w:tcPr>
          <w:p w14:paraId="27141F4B">
            <w:pPr>
              <w:widowControl/>
              <w:spacing w:line="240" w:lineRule="auto"/>
              <w:jc w:val="left"/>
              <w:rPr>
                <w:rFonts w:ascii="宋体" w:hAnsi="宋体" w:eastAsia="宋体" w:cs="Arial"/>
                <w:color w:val="333333"/>
                <w:kern w:val="0"/>
                <w:sz w:val="18"/>
                <w:szCs w:val="18"/>
              </w:rPr>
            </w:pPr>
          </w:p>
        </w:tc>
        <w:tc>
          <w:tcPr>
            <w:tcW w:w="2225" w:type="dxa"/>
            <w:tcBorders>
              <w:top w:val="nil"/>
              <w:left w:val="nil"/>
              <w:bottom w:val="single" w:color="auto" w:sz="4" w:space="0"/>
              <w:right w:val="single" w:color="auto" w:sz="4" w:space="0"/>
            </w:tcBorders>
            <w:shd w:val="clear" w:color="000000" w:fill="FFFFFF"/>
            <w:noWrap/>
            <w:vAlign w:val="center"/>
          </w:tcPr>
          <w:p w14:paraId="4097F35C">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“三公经费”控制率</w:t>
            </w:r>
          </w:p>
        </w:tc>
        <w:tc>
          <w:tcPr>
            <w:tcW w:w="1264" w:type="dxa"/>
            <w:tcBorders>
              <w:top w:val="nil"/>
              <w:left w:val="nil"/>
              <w:bottom w:val="single" w:color="auto" w:sz="4" w:space="0"/>
              <w:right w:val="single" w:color="auto" w:sz="4" w:space="0"/>
            </w:tcBorders>
            <w:shd w:val="clear" w:color="000000" w:fill="FFFFFF"/>
            <w:noWrap/>
            <w:vAlign w:val="center"/>
          </w:tcPr>
          <w:p w14:paraId="63605E06">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c>
          <w:tcPr>
            <w:tcW w:w="1760" w:type="dxa"/>
            <w:tcBorders>
              <w:top w:val="nil"/>
              <w:left w:val="nil"/>
              <w:bottom w:val="single" w:color="auto" w:sz="4" w:space="0"/>
              <w:right w:val="single" w:color="auto" w:sz="4" w:space="0"/>
            </w:tcBorders>
            <w:shd w:val="clear" w:color="000000" w:fill="FFFFFF"/>
            <w:noWrap/>
            <w:vAlign w:val="center"/>
          </w:tcPr>
          <w:p w14:paraId="2F6EE255">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&lt;=100%</w:t>
            </w:r>
          </w:p>
        </w:tc>
        <w:tc>
          <w:tcPr>
            <w:tcW w:w="1829" w:type="dxa"/>
            <w:tcBorders>
              <w:top w:val="nil"/>
              <w:left w:val="nil"/>
              <w:bottom w:val="single" w:color="auto" w:sz="4" w:space="0"/>
              <w:right w:val="single" w:color="auto" w:sz="4" w:space="0"/>
            </w:tcBorders>
            <w:shd w:val="clear" w:color="000000" w:fill="FFFFFF"/>
            <w:noWrap/>
            <w:vAlign w:val="center"/>
          </w:tcPr>
          <w:p w14:paraId="61A6A996">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w:t>
            </w:r>
          </w:p>
        </w:tc>
        <w:tc>
          <w:tcPr>
            <w:tcW w:w="1352" w:type="dxa"/>
            <w:tcBorders>
              <w:top w:val="nil"/>
              <w:left w:val="nil"/>
              <w:bottom w:val="single" w:color="auto" w:sz="4" w:space="0"/>
              <w:right w:val="single" w:color="auto" w:sz="4" w:space="0"/>
            </w:tcBorders>
            <w:shd w:val="clear" w:color="000000" w:fill="FFFFFF"/>
            <w:noWrap/>
            <w:vAlign w:val="center"/>
          </w:tcPr>
          <w:p w14:paraId="657841ED">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100.00%</w:t>
            </w:r>
          </w:p>
        </w:tc>
        <w:tc>
          <w:tcPr>
            <w:tcW w:w="1232" w:type="dxa"/>
            <w:tcBorders>
              <w:top w:val="nil"/>
              <w:left w:val="nil"/>
              <w:bottom w:val="single" w:color="auto" w:sz="4" w:space="0"/>
              <w:right w:val="single" w:color="auto" w:sz="4" w:space="0"/>
            </w:tcBorders>
            <w:shd w:val="clear" w:color="000000" w:fill="FFFFFF"/>
            <w:noWrap/>
            <w:vAlign w:val="center"/>
          </w:tcPr>
          <w:p w14:paraId="7B39F3DB">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r>
      <w:tr w14:paraId="170A1D27">
        <w:tblPrEx>
          <w:tblCellMar>
            <w:top w:w="0" w:type="dxa"/>
            <w:left w:w="108" w:type="dxa"/>
            <w:bottom w:w="0" w:type="dxa"/>
            <w:right w:w="108" w:type="dxa"/>
          </w:tblCellMar>
        </w:tblPrEx>
        <w:trPr>
          <w:trHeight w:val="402" w:hRule="atLeast"/>
        </w:trPr>
        <w:tc>
          <w:tcPr>
            <w:tcW w:w="2128" w:type="dxa"/>
            <w:vMerge w:val="continue"/>
            <w:tcBorders>
              <w:top w:val="nil"/>
              <w:left w:val="single" w:color="auto" w:sz="4" w:space="0"/>
              <w:bottom w:val="single" w:color="auto" w:sz="4" w:space="0"/>
              <w:right w:val="single" w:color="auto" w:sz="4" w:space="0"/>
            </w:tcBorders>
            <w:vAlign w:val="center"/>
          </w:tcPr>
          <w:p w14:paraId="79FE9760">
            <w:pPr>
              <w:widowControl/>
              <w:spacing w:line="240" w:lineRule="auto"/>
              <w:jc w:val="left"/>
              <w:rPr>
                <w:rFonts w:ascii="宋体" w:hAnsi="宋体" w:eastAsia="宋体" w:cs="Arial"/>
                <w:color w:val="333333"/>
                <w:kern w:val="0"/>
                <w:sz w:val="18"/>
                <w:szCs w:val="18"/>
              </w:rPr>
            </w:pPr>
          </w:p>
        </w:tc>
        <w:tc>
          <w:tcPr>
            <w:tcW w:w="2502" w:type="dxa"/>
            <w:vMerge w:val="continue"/>
            <w:tcBorders>
              <w:top w:val="nil"/>
              <w:left w:val="single" w:color="auto" w:sz="4" w:space="0"/>
              <w:bottom w:val="single" w:color="auto" w:sz="4" w:space="0"/>
              <w:right w:val="single" w:color="auto" w:sz="4" w:space="0"/>
            </w:tcBorders>
            <w:vAlign w:val="center"/>
          </w:tcPr>
          <w:p w14:paraId="209254B6">
            <w:pPr>
              <w:widowControl/>
              <w:spacing w:line="240" w:lineRule="auto"/>
              <w:jc w:val="left"/>
              <w:rPr>
                <w:rFonts w:ascii="宋体" w:hAnsi="宋体" w:eastAsia="宋体" w:cs="Arial"/>
                <w:color w:val="333333"/>
                <w:kern w:val="0"/>
                <w:sz w:val="18"/>
                <w:szCs w:val="18"/>
              </w:rPr>
            </w:pPr>
          </w:p>
        </w:tc>
        <w:tc>
          <w:tcPr>
            <w:tcW w:w="2225" w:type="dxa"/>
            <w:tcBorders>
              <w:top w:val="nil"/>
              <w:left w:val="nil"/>
              <w:bottom w:val="single" w:color="auto" w:sz="4" w:space="0"/>
              <w:right w:val="single" w:color="auto" w:sz="4" w:space="0"/>
            </w:tcBorders>
            <w:shd w:val="clear" w:color="000000" w:fill="FFFFFF"/>
            <w:noWrap/>
            <w:vAlign w:val="center"/>
          </w:tcPr>
          <w:p w14:paraId="1C901D84">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结转结余变动率</w:t>
            </w:r>
          </w:p>
        </w:tc>
        <w:tc>
          <w:tcPr>
            <w:tcW w:w="1264" w:type="dxa"/>
            <w:tcBorders>
              <w:top w:val="nil"/>
              <w:left w:val="nil"/>
              <w:bottom w:val="single" w:color="auto" w:sz="4" w:space="0"/>
              <w:right w:val="single" w:color="auto" w:sz="4" w:space="0"/>
            </w:tcBorders>
            <w:shd w:val="clear" w:color="000000" w:fill="FFFFFF"/>
            <w:noWrap/>
            <w:vAlign w:val="center"/>
          </w:tcPr>
          <w:p w14:paraId="01EB7F8E">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c>
          <w:tcPr>
            <w:tcW w:w="1760" w:type="dxa"/>
            <w:tcBorders>
              <w:top w:val="nil"/>
              <w:left w:val="nil"/>
              <w:bottom w:val="single" w:color="auto" w:sz="4" w:space="0"/>
              <w:right w:val="single" w:color="auto" w:sz="4" w:space="0"/>
            </w:tcBorders>
            <w:shd w:val="clear" w:color="000000" w:fill="FFFFFF"/>
            <w:noWrap/>
            <w:vAlign w:val="center"/>
          </w:tcPr>
          <w:p w14:paraId="31530612">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&lt;=5%</w:t>
            </w:r>
          </w:p>
        </w:tc>
        <w:tc>
          <w:tcPr>
            <w:tcW w:w="1829" w:type="dxa"/>
            <w:tcBorders>
              <w:top w:val="nil"/>
              <w:left w:val="nil"/>
              <w:bottom w:val="single" w:color="auto" w:sz="4" w:space="0"/>
              <w:right w:val="single" w:color="auto" w:sz="4" w:space="0"/>
            </w:tcBorders>
            <w:shd w:val="clear" w:color="000000" w:fill="FFFFFF"/>
            <w:noWrap/>
            <w:vAlign w:val="center"/>
          </w:tcPr>
          <w:p w14:paraId="65FEDCF1">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5%</w:t>
            </w:r>
          </w:p>
        </w:tc>
        <w:tc>
          <w:tcPr>
            <w:tcW w:w="1352" w:type="dxa"/>
            <w:tcBorders>
              <w:top w:val="nil"/>
              <w:left w:val="nil"/>
              <w:bottom w:val="single" w:color="auto" w:sz="4" w:space="0"/>
              <w:right w:val="single" w:color="auto" w:sz="4" w:space="0"/>
            </w:tcBorders>
            <w:shd w:val="clear" w:color="000000" w:fill="FFFFFF"/>
            <w:noWrap/>
            <w:vAlign w:val="center"/>
          </w:tcPr>
          <w:p w14:paraId="51CB2EF3">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100.00%</w:t>
            </w:r>
          </w:p>
        </w:tc>
        <w:tc>
          <w:tcPr>
            <w:tcW w:w="1232" w:type="dxa"/>
            <w:tcBorders>
              <w:top w:val="nil"/>
              <w:left w:val="nil"/>
              <w:bottom w:val="single" w:color="auto" w:sz="4" w:space="0"/>
              <w:right w:val="single" w:color="auto" w:sz="4" w:space="0"/>
            </w:tcBorders>
            <w:shd w:val="clear" w:color="000000" w:fill="FFFFFF"/>
            <w:noWrap/>
            <w:vAlign w:val="center"/>
          </w:tcPr>
          <w:p w14:paraId="6C2DF219">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r>
      <w:tr w14:paraId="22A50D81">
        <w:tblPrEx>
          <w:tblCellMar>
            <w:top w:w="0" w:type="dxa"/>
            <w:left w:w="108" w:type="dxa"/>
            <w:bottom w:w="0" w:type="dxa"/>
            <w:right w:w="108" w:type="dxa"/>
          </w:tblCellMar>
        </w:tblPrEx>
        <w:trPr>
          <w:trHeight w:val="402" w:hRule="atLeast"/>
        </w:trPr>
        <w:tc>
          <w:tcPr>
            <w:tcW w:w="2128" w:type="dxa"/>
            <w:vMerge w:val="continue"/>
            <w:tcBorders>
              <w:top w:val="nil"/>
              <w:left w:val="single" w:color="auto" w:sz="4" w:space="0"/>
              <w:bottom w:val="single" w:color="auto" w:sz="4" w:space="0"/>
              <w:right w:val="single" w:color="auto" w:sz="4" w:space="0"/>
            </w:tcBorders>
            <w:vAlign w:val="center"/>
          </w:tcPr>
          <w:p w14:paraId="488C332D">
            <w:pPr>
              <w:widowControl/>
              <w:spacing w:line="240" w:lineRule="auto"/>
              <w:jc w:val="left"/>
              <w:rPr>
                <w:rFonts w:ascii="宋体" w:hAnsi="宋体" w:eastAsia="宋体" w:cs="Arial"/>
                <w:color w:val="333333"/>
                <w:kern w:val="0"/>
                <w:sz w:val="18"/>
                <w:szCs w:val="18"/>
              </w:rPr>
            </w:pPr>
          </w:p>
        </w:tc>
        <w:tc>
          <w:tcPr>
            <w:tcW w:w="2502" w:type="dxa"/>
            <w:vMerge w:val="restart"/>
            <w:tcBorders>
              <w:top w:val="nil"/>
              <w:left w:val="single" w:color="auto" w:sz="4" w:space="0"/>
              <w:bottom w:val="single" w:color="auto" w:sz="4" w:space="0"/>
              <w:right w:val="single" w:color="auto" w:sz="4" w:space="0"/>
            </w:tcBorders>
            <w:shd w:val="clear" w:color="000000" w:fill="FFFFFF"/>
            <w:noWrap/>
            <w:vAlign w:val="center"/>
          </w:tcPr>
          <w:p w14:paraId="4DC4EE8E">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财务管理</w:t>
            </w:r>
          </w:p>
        </w:tc>
        <w:tc>
          <w:tcPr>
            <w:tcW w:w="2225" w:type="dxa"/>
            <w:tcBorders>
              <w:top w:val="nil"/>
              <w:left w:val="nil"/>
              <w:bottom w:val="single" w:color="auto" w:sz="4" w:space="0"/>
              <w:right w:val="single" w:color="auto" w:sz="4" w:space="0"/>
            </w:tcBorders>
            <w:shd w:val="clear" w:color="000000" w:fill="FFFFFF"/>
            <w:noWrap/>
            <w:vAlign w:val="center"/>
          </w:tcPr>
          <w:p w14:paraId="7D7C8F04">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财务管理制度健全性</w:t>
            </w:r>
          </w:p>
        </w:tc>
        <w:tc>
          <w:tcPr>
            <w:tcW w:w="1264" w:type="dxa"/>
            <w:tcBorders>
              <w:top w:val="nil"/>
              <w:left w:val="nil"/>
              <w:bottom w:val="single" w:color="auto" w:sz="4" w:space="0"/>
              <w:right w:val="single" w:color="auto" w:sz="4" w:space="0"/>
            </w:tcBorders>
            <w:shd w:val="clear" w:color="000000" w:fill="FFFFFF"/>
            <w:noWrap/>
            <w:vAlign w:val="center"/>
          </w:tcPr>
          <w:p w14:paraId="083EDA45">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c>
          <w:tcPr>
            <w:tcW w:w="1760" w:type="dxa"/>
            <w:tcBorders>
              <w:top w:val="nil"/>
              <w:left w:val="nil"/>
              <w:bottom w:val="single" w:color="auto" w:sz="4" w:space="0"/>
              <w:right w:val="single" w:color="auto" w:sz="4" w:space="0"/>
            </w:tcBorders>
            <w:shd w:val="clear" w:color="000000" w:fill="FFFFFF"/>
            <w:noWrap/>
            <w:vAlign w:val="center"/>
          </w:tcPr>
          <w:p w14:paraId="4FC5C4B9">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健全</w:t>
            </w:r>
          </w:p>
        </w:tc>
        <w:tc>
          <w:tcPr>
            <w:tcW w:w="1829" w:type="dxa"/>
            <w:tcBorders>
              <w:top w:val="nil"/>
              <w:left w:val="nil"/>
              <w:bottom w:val="single" w:color="auto" w:sz="4" w:space="0"/>
              <w:right w:val="single" w:color="auto" w:sz="4" w:space="0"/>
            </w:tcBorders>
            <w:shd w:val="clear" w:color="000000" w:fill="FFFFFF"/>
            <w:noWrap/>
            <w:vAlign w:val="center"/>
          </w:tcPr>
          <w:p w14:paraId="2BA64AAE">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95%</w:t>
            </w:r>
          </w:p>
        </w:tc>
        <w:tc>
          <w:tcPr>
            <w:tcW w:w="1352" w:type="dxa"/>
            <w:tcBorders>
              <w:top w:val="nil"/>
              <w:left w:val="nil"/>
              <w:bottom w:val="single" w:color="auto" w:sz="4" w:space="0"/>
              <w:right w:val="single" w:color="auto" w:sz="4" w:space="0"/>
            </w:tcBorders>
            <w:shd w:val="clear" w:color="000000" w:fill="FFFFFF"/>
            <w:noWrap/>
            <w:vAlign w:val="center"/>
          </w:tcPr>
          <w:p w14:paraId="7B0E9C60">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95%</w:t>
            </w:r>
          </w:p>
        </w:tc>
        <w:tc>
          <w:tcPr>
            <w:tcW w:w="1232" w:type="dxa"/>
            <w:tcBorders>
              <w:top w:val="nil"/>
              <w:left w:val="nil"/>
              <w:bottom w:val="single" w:color="auto" w:sz="4" w:space="0"/>
              <w:right w:val="single" w:color="auto" w:sz="4" w:space="0"/>
            </w:tcBorders>
            <w:shd w:val="clear" w:color="000000" w:fill="FFFFFF"/>
            <w:noWrap/>
            <w:vAlign w:val="center"/>
          </w:tcPr>
          <w:p w14:paraId="09DCC93C">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r>
      <w:tr w14:paraId="3B82FCF4">
        <w:tblPrEx>
          <w:tblCellMar>
            <w:top w:w="0" w:type="dxa"/>
            <w:left w:w="108" w:type="dxa"/>
            <w:bottom w:w="0" w:type="dxa"/>
            <w:right w:w="108" w:type="dxa"/>
          </w:tblCellMar>
        </w:tblPrEx>
        <w:trPr>
          <w:trHeight w:val="402" w:hRule="atLeast"/>
        </w:trPr>
        <w:tc>
          <w:tcPr>
            <w:tcW w:w="2128" w:type="dxa"/>
            <w:vMerge w:val="continue"/>
            <w:tcBorders>
              <w:top w:val="nil"/>
              <w:left w:val="single" w:color="auto" w:sz="4" w:space="0"/>
              <w:bottom w:val="single" w:color="auto" w:sz="4" w:space="0"/>
              <w:right w:val="single" w:color="auto" w:sz="4" w:space="0"/>
            </w:tcBorders>
            <w:vAlign w:val="center"/>
          </w:tcPr>
          <w:p w14:paraId="491877FF">
            <w:pPr>
              <w:widowControl/>
              <w:spacing w:line="240" w:lineRule="auto"/>
              <w:jc w:val="left"/>
              <w:rPr>
                <w:rFonts w:ascii="宋体" w:hAnsi="宋体" w:eastAsia="宋体" w:cs="Arial"/>
                <w:color w:val="333333"/>
                <w:kern w:val="0"/>
                <w:sz w:val="18"/>
                <w:szCs w:val="18"/>
              </w:rPr>
            </w:pPr>
          </w:p>
        </w:tc>
        <w:tc>
          <w:tcPr>
            <w:tcW w:w="2502" w:type="dxa"/>
            <w:vMerge w:val="continue"/>
            <w:tcBorders>
              <w:top w:val="nil"/>
              <w:left w:val="single" w:color="auto" w:sz="4" w:space="0"/>
              <w:bottom w:val="single" w:color="auto" w:sz="4" w:space="0"/>
              <w:right w:val="single" w:color="auto" w:sz="4" w:space="0"/>
            </w:tcBorders>
            <w:vAlign w:val="center"/>
          </w:tcPr>
          <w:p w14:paraId="1AB25897">
            <w:pPr>
              <w:widowControl/>
              <w:spacing w:line="240" w:lineRule="auto"/>
              <w:jc w:val="left"/>
              <w:rPr>
                <w:rFonts w:ascii="宋体" w:hAnsi="宋体" w:eastAsia="宋体" w:cs="Arial"/>
                <w:color w:val="333333"/>
                <w:kern w:val="0"/>
                <w:sz w:val="18"/>
                <w:szCs w:val="18"/>
              </w:rPr>
            </w:pPr>
          </w:p>
        </w:tc>
        <w:tc>
          <w:tcPr>
            <w:tcW w:w="2225" w:type="dxa"/>
            <w:tcBorders>
              <w:top w:val="nil"/>
              <w:left w:val="nil"/>
              <w:bottom w:val="single" w:color="auto" w:sz="4" w:space="0"/>
              <w:right w:val="single" w:color="auto" w:sz="4" w:space="0"/>
            </w:tcBorders>
            <w:shd w:val="clear" w:color="000000" w:fill="FFFFFF"/>
            <w:noWrap/>
            <w:vAlign w:val="center"/>
          </w:tcPr>
          <w:p w14:paraId="23E7383D">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资金使用规范性</w:t>
            </w:r>
          </w:p>
        </w:tc>
        <w:tc>
          <w:tcPr>
            <w:tcW w:w="1264" w:type="dxa"/>
            <w:tcBorders>
              <w:top w:val="nil"/>
              <w:left w:val="nil"/>
              <w:bottom w:val="single" w:color="auto" w:sz="4" w:space="0"/>
              <w:right w:val="single" w:color="auto" w:sz="4" w:space="0"/>
            </w:tcBorders>
            <w:shd w:val="clear" w:color="000000" w:fill="FFFFFF"/>
            <w:noWrap/>
            <w:vAlign w:val="center"/>
          </w:tcPr>
          <w:p w14:paraId="606EA35B">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c>
          <w:tcPr>
            <w:tcW w:w="1760" w:type="dxa"/>
            <w:tcBorders>
              <w:top w:val="nil"/>
              <w:left w:val="nil"/>
              <w:bottom w:val="single" w:color="auto" w:sz="4" w:space="0"/>
              <w:right w:val="single" w:color="auto" w:sz="4" w:space="0"/>
            </w:tcBorders>
            <w:shd w:val="clear" w:color="000000" w:fill="FFFFFF"/>
            <w:noWrap/>
            <w:vAlign w:val="center"/>
          </w:tcPr>
          <w:p w14:paraId="139227FB">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规范</w:t>
            </w:r>
          </w:p>
        </w:tc>
        <w:tc>
          <w:tcPr>
            <w:tcW w:w="1829" w:type="dxa"/>
            <w:tcBorders>
              <w:top w:val="nil"/>
              <w:left w:val="nil"/>
              <w:bottom w:val="single" w:color="auto" w:sz="4" w:space="0"/>
              <w:right w:val="single" w:color="auto" w:sz="4" w:space="0"/>
            </w:tcBorders>
            <w:shd w:val="clear" w:color="000000" w:fill="FFFFFF"/>
            <w:noWrap/>
            <w:vAlign w:val="center"/>
          </w:tcPr>
          <w:p w14:paraId="44604BD0">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w:t>
            </w:r>
          </w:p>
        </w:tc>
        <w:tc>
          <w:tcPr>
            <w:tcW w:w="1352" w:type="dxa"/>
            <w:tcBorders>
              <w:top w:val="nil"/>
              <w:left w:val="nil"/>
              <w:bottom w:val="single" w:color="auto" w:sz="4" w:space="0"/>
              <w:right w:val="single" w:color="auto" w:sz="4" w:space="0"/>
            </w:tcBorders>
            <w:shd w:val="clear" w:color="000000" w:fill="FFFFFF"/>
            <w:noWrap/>
            <w:vAlign w:val="center"/>
          </w:tcPr>
          <w:p w14:paraId="2D654474">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w:t>
            </w:r>
          </w:p>
        </w:tc>
        <w:tc>
          <w:tcPr>
            <w:tcW w:w="1232" w:type="dxa"/>
            <w:tcBorders>
              <w:top w:val="nil"/>
              <w:left w:val="nil"/>
              <w:bottom w:val="single" w:color="auto" w:sz="4" w:space="0"/>
              <w:right w:val="single" w:color="auto" w:sz="4" w:space="0"/>
            </w:tcBorders>
            <w:shd w:val="clear" w:color="000000" w:fill="FFFFFF"/>
            <w:noWrap/>
            <w:vAlign w:val="center"/>
          </w:tcPr>
          <w:p w14:paraId="7D5391E4">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r>
      <w:tr w14:paraId="6B38FF4A">
        <w:tblPrEx>
          <w:tblCellMar>
            <w:top w:w="0" w:type="dxa"/>
            <w:left w:w="108" w:type="dxa"/>
            <w:bottom w:w="0" w:type="dxa"/>
            <w:right w:w="108" w:type="dxa"/>
          </w:tblCellMar>
        </w:tblPrEx>
        <w:trPr>
          <w:trHeight w:val="402" w:hRule="atLeast"/>
        </w:trPr>
        <w:tc>
          <w:tcPr>
            <w:tcW w:w="2128" w:type="dxa"/>
            <w:vMerge w:val="continue"/>
            <w:tcBorders>
              <w:top w:val="nil"/>
              <w:left w:val="single" w:color="auto" w:sz="4" w:space="0"/>
              <w:bottom w:val="single" w:color="auto" w:sz="4" w:space="0"/>
              <w:right w:val="single" w:color="auto" w:sz="4" w:space="0"/>
            </w:tcBorders>
            <w:vAlign w:val="center"/>
          </w:tcPr>
          <w:p w14:paraId="2C2067A9">
            <w:pPr>
              <w:widowControl/>
              <w:spacing w:line="240" w:lineRule="auto"/>
              <w:jc w:val="left"/>
              <w:rPr>
                <w:rFonts w:ascii="宋体" w:hAnsi="宋体" w:eastAsia="宋体" w:cs="Arial"/>
                <w:color w:val="333333"/>
                <w:kern w:val="0"/>
                <w:sz w:val="18"/>
                <w:szCs w:val="18"/>
              </w:rPr>
            </w:pPr>
          </w:p>
        </w:tc>
        <w:tc>
          <w:tcPr>
            <w:tcW w:w="2502" w:type="dxa"/>
            <w:tcBorders>
              <w:top w:val="nil"/>
              <w:left w:val="nil"/>
              <w:bottom w:val="single" w:color="auto" w:sz="4" w:space="0"/>
              <w:right w:val="single" w:color="auto" w:sz="4" w:space="0"/>
            </w:tcBorders>
            <w:shd w:val="clear" w:color="000000" w:fill="FFFFFF"/>
            <w:noWrap/>
            <w:vAlign w:val="center"/>
          </w:tcPr>
          <w:p w14:paraId="06D0B981">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采购管理</w:t>
            </w:r>
          </w:p>
        </w:tc>
        <w:tc>
          <w:tcPr>
            <w:tcW w:w="2225" w:type="dxa"/>
            <w:tcBorders>
              <w:top w:val="nil"/>
              <w:left w:val="nil"/>
              <w:bottom w:val="single" w:color="auto" w:sz="4" w:space="0"/>
              <w:right w:val="single" w:color="auto" w:sz="4" w:space="0"/>
            </w:tcBorders>
            <w:shd w:val="clear" w:color="000000" w:fill="FFFFFF"/>
            <w:noWrap/>
            <w:vAlign w:val="center"/>
          </w:tcPr>
          <w:p w14:paraId="633EE984">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政府采购规范性</w:t>
            </w:r>
          </w:p>
        </w:tc>
        <w:tc>
          <w:tcPr>
            <w:tcW w:w="1264" w:type="dxa"/>
            <w:tcBorders>
              <w:top w:val="nil"/>
              <w:left w:val="nil"/>
              <w:bottom w:val="single" w:color="auto" w:sz="4" w:space="0"/>
              <w:right w:val="single" w:color="auto" w:sz="4" w:space="0"/>
            </w:tcBorders>
            <w:shd w:val="clear" w:color="000000" w:fill="FFFFFF"/>
            <w:noWrap/>
            <w:vAlign w:val="center"/>
          </w:tcPr>
          <w:p w14:paraId="73C0C4AC">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c>
          <w:tcPr>
            <w:tcW w:w="1760" w:type="dxa"/>
            <w:tcBorders>
              <w:top w:val="nil"/>
              <w:left w:val="nil"/>
              <w:bottom w:val="single" w:color="auto" w:sz="4" w:space="0"/>
              <w:right w:val="single" w:color="auto" w:sz="4" w:space="0"/>
            </w:tcBorders>
            <w:shd w:val="clear" w:color="000000" w:fill="FFFFFF"/>
            <w:noWrap/>
            <w:vAlign w:val="center"/>
          </w:tcPr>
          <w:p w14:paraId="3F0E057F">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规范</w:t>
            </w:r>
          </w:p>
        </w:tc>
        <w:tc>
          <w:tcPr>
            <w:tcW w:w="1829" w:type="dxa"/>
            <w:tcBorders>
              <w:top w:val="nil"/>
              <w:left w:val="nil"/>
              <w:bottom w:val="single" w:color="auto" w:sz="4" w:space="0"/>
              <w:right w:val="single" w:color="auto" w:sz="4" w:space="0"/>
            </w:tcBorders>
            <w:shd w:val="clear" w:color="000000" w:fill="FFFFFF"/>
            <w:noWrap/>
            <w:vAlign w:val="center"/>
          </w:tcPr>
          <w:p w14:paraId="6243FE9E">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w:t>
            </w:r>
          </w:p>
        </w:tc>
        <w:tc>
          <w:tcPr>
            <w:tcW w:w="1352" w:type="dxa"/>
            <w:tcBorders>
              <w:top w:val="nil"/>
              <w:left w:val="nil"/>
              <w:bottom w:val="single" w:color="auto" w:sz="4" w:space="0"/>
              <w:right w:val="single" w:color="auto" w:sz="4" w:space="0"/>
            </w:tcBorders>
            <w:shd w:val="clear" w:color="000000" w:fill="FFFFFF"/>
            <w:noWrap/>
            <w:vAlign w:val="center"/>
          </w:tcPr>
          <w:p w14:paraId="18596FBA">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w:t>
            </w:r>
          </w:p>
        </w:tc>
        <w:tc>
          <w:tcPr>
            <w:tcW w:w="1232" w:type="dxa"/>
            <w:tcBorders>
              <w:top w:val="nil"/>
              <w:left w:val="nil"/>
              <w:bottom w:val="single" w:color="auto" w:sz="4" w:space="0"/>
              <w:right w:val="single" w:color="auto" w:sz="4" w:space="0"/>
            </w:tcBorders>
            <w:shd w:val="clear" w:color="000000" w:fill="FFFFFF"/>
            <w:noWrap/>
            <w:vAlign w:val="center"/>
          </w:tcPr>
          <w:p w14:paraId="28AF3D13">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r>
      <w:tr w14:paraId="1534CB45">
        <w:tblPrEx>
          <w:tblCellMar>
            <w:top w:w="0" w:type="dxa"/>
            <w:left w:w="108" w:type="dxa"/>
            <w:bottom w:w="0" w:type="dxa"/>
            <w:right w:w="108" w:type="dxa"/>
          </w:tblCellMar>
        </w:tblPrEx>
        <w:trPr>
          <w:trHeight w:val="402" w:hRule="atLeast"/>
        </w:trPr>
        <w:tc>
          <w:tcPr>
            <w:tcW w:w="2128" w:type="dxa"/>
            <w:vMerge w:val="continue"/>
            <w:tcBorders>
              <w:top w:val="nil"/>
              <w:left w:val="single" w:color="auto" w:sz="4" w:space="0"/>
              <w:bottom w:val="single" w:color="auto" w:sz="4" w:space="0"/>
              <w:right w:val="single" w:color="auto" w:sz="4" w:space="0"/>
            </w:tcBorders>
            <w:vAlign w:val="center"/>
          </w:tcPr>
          <w:p w14:paraId="4EB2DAAE">
            <w:pPr>
              <w:widowControl/>
              <w:spacing w:line="240" w:lineRule="auto"/>
              <w:jc w:val="left"/>
              <w:rPr>
                <w:rFonts w:ascii="宋体" w:hAnsi="宋体" w:eastAsia="宋体" w:cs="Arial"/>
                <w:color w:val="333333"/>
                <w:kern w:val="0"/>
                <w:sz w:val="18"/>
                <w:szCs w:val="18"/>
              </w:rPr>
            </w:pPr>
          </w:p>
        </w:tc>
        <w:tc>
          <w:tcPr>
            <w:tcW w:w="2502" w:type="dxa"/>
            <w:tcBorders>
              <w:top w:val="nil"/>
              <w:left w:val="nil"/>
              <w:bottom w:val="single" w:color="auto" w:sz="4" w:space="0"/>
              <w:right w:val="single" w:color="auto" w:sz="4" w:space="0"/>
            </w:tcBorders>
            <w:shd w:val="clear" w:color="000000" w:fill="FFFFFF"/>
            <w:noWrap/>
            <w:vAlign w:val="center"/>
          </w:tcPr>
          <w:p w14:paraId="6360D5CC">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资产管理</w:t>
            </w:r>
          </w:p>
        </w:tc>
        <w:tc>
          <w:tcPr>
            <w:tcW w:w="2225" w:type="dxa"/>
            <w:tcBorders>
              <w:top w:val="nil"/>
              <w:left w:val="nil"/>
              <w:bottom w:val="single" w:color="auto" w:sz="4" w:space="0"/>
              <w:right w:val="single" w:color="auto" w:sz="4" w:space="0"/>
            </w:tcBorders>
            <w:shd w:val="clear" w:color="000000" w:fill="FFFFFF"/>
            <w:noWrap/>
            <w:vAlign w:val="center"/>
          </w:tcPr>
          <w:p w14:paraId="316E42EF">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资产管理规范性</w:t>
            </w:r>
          </w:p>
        </w:tc>
        <w:tc>
          <w:tcPr>
            <w:tcW w:w="1264" w:type="dxa"/>
            <w:tcBorders>
              <w:top w:val="nil"/>
              <w:left w:val="nil"/>
              <w:bottom w:val="single" w:color="auto" w:sz="4" w:space="0"/>
              <w:right w:val="single" w:color="auto" w:sz="4" w:space="0"/>
            </w:tcBorders>
            <w:shd w:val="clear" w:color="000000" w:fill="FFFFFF"/>
            <w:noWrap/>
            <w:vAlign w:val="center"/>
          </w:tcPr>
          <w:p w14:paraId="7E484EB7">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c>
          <w:tcPr>
            <w:tcW w:w="1760" w:type="dxa"/>
            <w:tcBorders>
              <w:top w:val="nil"/>
              <w:left w:val="nil"/>
              <w:bottom w:val="single" w:color="auto" w:sz="4" w:space="0"/>
              <w:right w:val="single" w:color="auto" w:sz="4" w:space="0"/>
            </w:tcBorders>
            <w:shd w:val="clear" w:color="000000" w:fill="FFFFFF"/>
            <w:noWrap/>
            <w:vAlign w:val="center"/>
          </w:tcPr>
          <w:p w14:paraId="66829D52">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规范</w:t>
            </w:r>
          </w:p>
        </w:tc>
        <w:tc>
          <w:tcPr>
            <w:tcW w:w="1829" w:type="dxa"/>
            <w:tcBorders>
              <w:top w:val="nil"/>
              <w:left w:val="nil"/>
              <w:bottom w:val="single" w:color="auto" w:sz="4" w:space="0"/>
              <w:right w:val="single" w:color="auto" w:sz="4" w:space="0"/>
            </w:tcBorders>
            <w:shd w:val="clear" w:color="000000" w:fill="FFFFFF"/>
            <w:noWrap/>
            <w:vAlign w:val="center"/>
          </w:tcPr>
          <w:p w14:paraId="71B520AD">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w:t>
            </w:r>
          </w:p>
        </w:tc>
        <w:tc>
          <w:tcPr>
            <w:tcW w:w="1352" w:type="dxa"/>
            <w:tcBorders>
              <w:top w:val="nil"/>
              <w:left w:val="nil"/>
              <w:bottom w:val="single" w:color="auto" w:sz="4" w:space="0"/>
              <w:right w:val="single" w:color="auto" w:sz="4" w:space="0"/>
            </w:tcBorders>
            <w:shd w:val="clear" w:color="000000" w:fill="FFFFFF"/>
            <w:noWrap/>
            <w:vAlign w:val="center"/>
          </w:tcPr>
          <w:p w14:paraId="37404147">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w:t>
            </w:r>
          </w:p>
        </w:tc>
        <w:tc>
          <w:tcPr>
            <w:tcW w:w="1232" w:type="dxa"/>
            <w:tcBorders>
              <w:top w:val="nil"/>
              <w:left w:val="nil"/>
              <w:bottom w:val="single" w:color="auto" w:sz="4" w:space="0"/>
              <w:right w:val="single" w:color="auto" w:sz="4" w:space="0"/>
            </w:tcBorders>
            <w:shd w:val="clear" w:color="000000" w:fill="FFFFFF"/>
            <w:noWrap/>
            <w:vAlign w:val="center"/>
          </w:tcPr>
          <w:p w14:paraId="276BD990">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r>
      <w:tr w14:paraId="73B0153D">
        <w:tblPrEx>
          <w:tblCellMar>
            <w:top w:w="0" w:type="dxa"/>
            <w:left w:w="108" w:type="dxa"/>
            <w:bottom w:w="0" w:type="dxa"/>
            <w:right w:w="108" w:type="dxa"/>
          </w:tblCellMar>
        </w:tblPrEx>
        <w:trPr>
          <w:trHeight w:val="402" w:hRule="atLeast"/>
        </w:trPr>
        <w:tc>
          <w:tcPr>
            <w:tcW w:w="2128" w:type="dxa"/>
            <w:vMerge w:val="continue"/>
            <w:tcBorders>
              <w:top w:val="nil"/>
              <w:left w:val="single" w:color="auto" w:sz="4" w:space="0"/>
              <w:bottom w:val="single" w:color="auto" w:sz="4" w:space="0"/>
              <w:right w:val="single" w:color="auto" w:sz="4" w:space="0"/>
            </w:tcBorders>
            <w:vAlign w:val="center"/>
          </w:tcPr>
          <w:p w14:paraId="7C510F9D">
            <w:pPr>
              <w:widowControl/>
              <w:spacing w:line="240" w:lineRule="auto"/>
              <w:jc w:val="left"/>
              <w:rPr>
                <w:rFonts w:ascii="宋体" w:hAnsi="宋体" w:eastAsia="宋体" w:cs="Arial"/>
                <w:color w:val="333333"/>
                <w:kern w:val="0"/>
                <w:sz w:val="18"/>
                <w:szCs w:val="18"/>
              </w:rPr>
            </w:pPr>
          </w:p>
        </w:tc>
        <w:tc>
          <w:tcPr>
            <w:tcW w:w="2502" w:type="dxa"/>
            <w:tcBorders>
              <w:top w:val="nil"/>
              <w:left w:val="nil"/>
              <w:bottom w:val="single" w:color="auto" w:sz="4" w:space="0"/>
              <w:right w:val="single" w:color="auto" w:sz="4" w:space="0"/>
            </w:tcBorders>
            <w:shd w:val="clear" w:color="000000" w:fill="FFFFFF"/>
            <w:noWrap/>
            <w:vAlign w:val="center"/>
          </w:tcPr>
          <w:p w14:paraId="38AE5936">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人员管理</w:t>
            </w:r>
          </w:p>
        </w:tc>
        <w:tc>
          <w:tcPr>
            <w:tcW w:w="2225" w:type="dxa"/>
            <w:tcBorders>
              <w:top w:val="nil"/>
              <w:left w:val="nil"/>
              <w:bottom w:val="single" w:color="auto" w:sz="4" w:space="0"/>
              <w:right w:val="single" w:color="auto" w:sz="4" w:space="0"/>
            </w:tcBorders>
            <w:shd w:val="clear" w:color="000000" w:fill="FFFFFF"/>
            <w:noWrap/>
            <w:vAlign w:val="center"/>
          </w:tcPr>
          <w:p w14:paraId="3CA53C7F">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在职人员控制率</w:t>
            </w:r>
          </w:p>
        </w:tc>
        <w:tc>
          <w:tcPr>
            <w:tcW w:w="1264" w:type="dxa"/>
            <w:tcBorders>
              <w:top w:val="nil"/>
              <w:left w:val="nil"/>
              <w:bottom w:val="single" w:color="auto" w:sz="4" w:space="0"/>
              <w:right w:val="single" w:color="auto" w:sz="4" w:space="0"/>
            </w:tcBorders>
            <w:shd w:val="clear" w:color="000000" w:fill="FFFFFF"/>
            <w:noWrap/>
            <w:vAlign w:val="center"/>
          </w:tcPr>
          <w:p w14:paraId="66A2CEF0">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c>
          <w:tcPr>
            <w:tcW w:w="1760" w:type="dxa"/>
            <w:tcBorders>
              <w:top w:val="nil"/>
              <w:left w:val="nil"/>
              <w:bottom w:val="single" w:color="auto" w:sz="4" w:space="0"/>
              <w:right w:val="single" w:color="auto" w:sz="4" w:space="0"/>
            </w:tcBorders>
            <w:shd w:val="clear" w:color="000000" w:fill="FFFFFF"/>
            <w:noWrap/>
            <w:vAlign w:val="center"/>
          </w:tcPr>
          <w:p w14:paraId="1CF9A103">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w:t>
            </w:r>
          </w:p>
        </w:tc>
        <w:tc>
          <w:tcPr>
            <w:tcW w:w="1829" w:type="dxa"/>
            <w:tcBorders>
              <w:top w:val="nil"/>
              <w:left w:val="nil"/>
              <w:bottom w:val="single" w:color="auto" w:sz="4" w:space="0"/>
              <w:right w:val="single" w:color="auto" w:sz="4" w:space="0"/>
            </w:tcBorders>
            <w:shd w:val="clear" w:color="000000" w:fill="FFFFFF"/>
            <w:noWrap/>
            <w:vAlign w:val="center"/>
          </w:tcPr>
          <w:p w14:paraId="73D0728E">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w:t>
            </w:r>
          </w:p>
        </w:tc>
        <w:tc>
          <w:tcPr>
            <w:tcW w:w="1352" w:type="dxa"/>
            <w:tcBorders>
              <w:top w:val="nil"/>
              <w:left w:val="nil"/>
              <w:bottom w:val="single" w:color="auto" w:sz="4" w:space="0"/>
              <w:right w:val="single" w:color="auto" w:sz="4" w:space="0"/>
            </w:tcBorders>
            <w:shd w:val="clear" w:color="000000" w:fill="FFFFFF"/>
            <w:noWrap/>
            <w:vAlign w:val="center"/>
          </w:tcPr>
          <w:p w14:paraId="36AA4997">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100.00%</w:t>
            </w:r>
          </w:p>
        </w:tc>
        <w:tc>
          <w:tcPr>
            <w:tcW w:w="1232" w:type="dxa"/>
            <w:tcBorders>
              <w:top w:val="nil"/>
              <w:left w:val="nil"/>
              <w:bottom w:val="single" w:color="auto" w:sz="4" w:space="0"/>
              <w:right w:val="single" w:color="auto" w:sz="4" w:space="0"/>
            </w:tcBorders>
            <w:shd w:val="clear" w:color="000000" w:fill="FFFFFF"/>
            <w:noWrap/>
            <w:vAlign w:val="center"/>
          </w:tcPr>
          <w:p w14:paraId="740C2CA5">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r>
      <w:tr w14:paraId="39B5D339">
        <w:tblPrEx>
          <w:tblCellMar>
            <w:top w:w="0" w:type="dxa"/>
            <w:left w:w="108" w:type="dxa"/>
            <w:bottom w:w="0" w:type="dxa"/>
            <w:right w:w="108" w:type="dxa"/>
          </w:tblCellMar>
        </w:tblPrEx>
        <w:trPr>
          <w:trHeight w:val="402" w:hRule="atLeast"/>
        </w:trPr>
        <w:tc>
          <w:tcPr>
            <w:tcW w:w="2128" w:type="dxa"/>
            <w:vMerge w:val="continue"/>
            <w:tcBorders>
              <w:top w:val="nil"/>
              <w:left w:val="single" w:color="auto" w:sz="4" w:space="0"/>
              <w:bottom w:val="single" w:color="auto" w:sz="4" w:space="0"/>
              <w:right w:val="single" w:color="auto" w:sz="4" w:space="0"/>
            </w:tcBorders>
            <w:vAlign w:val="center"/>
          </w:tcPr>
          <w:p w14:paraId="49200D17">
            <w:pPr>
              <w:widowControl/>
              <w:spacing w:line="240" w:lineRule="auto"/>
              <w:jc w:val="left"/>
              <w:rPr>
                <w:rFonts w:ascii="宋体" w:hAnsi="宋体" w:eastAsia="宋体" w:cs="Arial"/>
                <w:color w:val="333333"/>
                <w:kern w:val="0"/>
                <w:sz w:val="18"/>
                <w:szCs w:val="18"/>
              </w:rPr>
            </w:pPr>
          </w:p>
        </w:tc>
        <w:tc>
          <w:tcPr>
            <w:tcW w:w="2502" w:type="dxa"/>
            <w:tcBorders>
              <w:top w:val="nil"/>
              <w:left w:val="nil"/>
              <w:bottom w:val="single" w:color="auto" w:sz="4" w:space="0"/>
              <w:right w:val="single" w:color="auto" w:sz="4" w:space="0"/>
            </w:tcBorders>
            <w:shd w:val="clear" w:color="000000" w:fill="FFFFFF"/>
            <w:noWrap/>
            <w:vAlign w:val="center"/>
          </w:tcPr>
          <w:p w14:paraId="0CB2E197">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重点工作管理</w:t>
            </w:r>
          </w:p>
        </w:tc>
        <w:tc>
          <w:tcPr>
            <w:tcW w:w="2225" w:type="dxa"/>
            <w:tcBorders>
              <w:top w:val="nil"/>
              <w:left w:val="nil"/>
              <w:bottom w:val="single" w:color="auto" w:sz="4" w:space="0"/>
              <w:right w:val="single" w:color="auto" w:sz="4" w:space="0"/>
            </w:tcBorders>
            <w:shd w:val="clear" w:color="000000" w:fill="FFFFFF"/>
            <w:noWrap/>
            <w:vAlign w:val="center"/>
          </w:tcPr>
          <w:p w14:paraId="4AF35B42">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重点工作管理制度健全性</w:t>
            </w:r>
          </w:p>
        </w:tc>
        <w:tc>
          <w:tcPr>
            <w:tcW w:w="1264" w:type="dxa"/>
            <w:tcBorders>
              <w:top w:val="nil"/>
              <w:left w:val="nil"/>
              <w:bottom w:val="single" w:color="auto" w:sz="4" w:space="0"/>
              <w:right w:val="single" w:color="auto" w:sz="4" w:space="0"/>
            </w:tcBorders>
            <w:shd w:val="clear" w:color="000000" w:fill="FFFFFF"/>
            <w:noWrap/>
            <w:vAlign w:val="center"/>
          </w:tcPr>
          <w:p w14:paraId="0CBDEE56">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c>
          <w:tcPr>
            <w:tcW w:w="1760" w:type="dxa"/>
            <w:tcBorders>
              <w:top w:val="nil"/>
              <w:left w:val="nil"/>
              <w:bottom w:val="single" w:color="auto" w:sz="4" w:space="0"/>
              <w:right w:val="single" w:color="auto" w:sz="4" w:space="0"/>
            </w:tcBorders>
            <w:shd w:val="clear" w:color="000000" w:fill="FFFFFF"/>
            <w:noWrap/>
            <w:vAlign w:val="center"/>
          </w:tcPr>
          <w:p w14:paraId="1AEB2D06">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健全</w:t>
            </w:r>
          </w:p>
        </w:tc>
        <w:tc>
          <w:tcPr>
            <w:tcW w:w="1829" w:type="dxa"/>
            <w:tcBorders>
              <w:top w:val="nil"/>
              <w:left w:val="nil"/>
              <w:bottom w:val="single" w:color="auto" w:sz="4" w:space="0"/>
              <w:right w:val="single" w:color="auto" w:sz="4" w:space="0"/>
            </w:tcBorders>
            <w:shd w:val="clear" w:color="000000" w:fill="FFFFFF"/>
            <w:noWrap/>
            <w:vAlign w:val="center"/>
          </w:tcPr>
          <w:p w14:paraId="5E7864E1">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95%</w:t>
            </w:r>
          </w:p>
        </w:tc>
        <w:tc>
          <w:tcPr>
            <w:tcW w:w="1352" w:type="dxa"/>
            <w:tcBorders>
              <w:top w:val="nil"/>
              <w:left w:val="nil"/>
              <w:bottom w:val="single" w:color="auto" w:sz="4" w:space="0"/>
              <w:right w:val="single" w:color="auto" w:sz="4" w:space="0"/>
            </w:tcBorders>
            <w:shd w:val="clear" w:color="000000" w:fill="FFFFFF"/>
            <w:noWrap/>
            <w:vAlign w:val="center"/>
          </w:tcPr>
          <w:p w14:paraId="62629C2E">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95%</w:t>
            </w:r>
          </w:p>
        </w:tc>
        <w:tc>
          <w:tcPr>
            <w:tcW w:w="1232" w:type="dxa"/>
            <w:tcBorders>
              <w:top w:val="nil"/>
              <w:left w:val="nil"/>
              <w:bottom w:val="single" w:color="auto" w:sz="4" w:space="0"/>
              <w:right w:val="single" w:color="auto" w:sz="4" w:space="0"/>
            </w:tcBorders>
            <w:shd w:val="clear" w:color="000000" w:fill="FFFFFF"/>
            <w:noWrap/>
            <w:vAlign w:val="center"/>
          </w:tcPr>
          <w:p w14:paraId="2BD9009D">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2.7</w:t>
            </w:r>
          </w:p>
        </w:tc>
      </w:tr>
      <w:tr w14:paraId="65A11030">
        <w:tblPrEx>
          <w:tblCellMar>
            <w:top w:w="0" w:type="dxa"/>
            <w:left w:w="108" w:type="dxa"/>
            <w:bottom w:w="0" w:type="dxa"/>
            <w:right w:w="108" w:type="dxa"/>
          </w:tblCellMar>
        </w:tblPrEx>
        <w:trPr>
          <w:trHeight w:val="402" w:hRule="atLeast"/>
        </w:trPr>
        <w:tc>
          <w:tcPr>
            <w:tcW w:w="2128" w:type="dxa"/>
            <w:vMerge w:val="restart"/>
            <w:tcBorders>
              <w:top w:val="nil"/>
              <w:left w:val="single" w:color="auto" w:sz="4" w:space="0"/>
              <w:bottom w:val="single" w:color="auto" w:sz="4" w:space="0"/>
              <w:right w:val="single" w:color="auto" w:sz="4" w:space="0"/>
            </w:tcBorders>
            <w:shd w:val="clear" w:color="000000" w:fill="FFFFFF"/>
            <w:noWrap/>
            <w:vAlign w:val="center"/>
          </w:tcPr>
          <w:p w14:paraId="17DCFA09">
            <w:pPr>
              <w:widowControl/>
              <w:spacing w:line="240" w:lineRule="auto"/>
              <w:jc w:val="center"/>
              <w:rPr>
                <w:rFonts w:ascii="宋体" w:hAnsi="宋体" w:eastAsia="宋体" w:cs="Arial"/>
                <w:color w:val="333333"/>
                <w:kern w:val="0"/>
                <w:sz w:val="18"/>
                <w:szCs w:val="18"/>
              </w:rPr>
            </w:pPr>
            <w:r>
              <w:rPr>
                <w:rFonts w:hint="eastAsia" w:ascii="宋体" w:hAnsi="宋体" w:eastAsia="宋体" w:cs="Arial"/>
                <w:color w:val="333333"/>
                <w:kern w:val="0"/>
                <w:sz w:val="18"/>
                <w:szCs w:val="18"/>
              </w:rPr>
              <w:t>履职效果</w:t>
            </w:r>
          </w:p>
        </w:tc>
        <w:tc>
          <w:tcPr>
            <w:tcW w:w="2502" w:type="dxa"/>
            <w:tcBorders>
              <w:top w:val="nil"/>
              <w:left w:val="nil"/>
              <w:bottom w:val="single" w:color="auto" w:sz="4" w:space="0"/>
              <w:right w:val="single" w:color="auto" w:sz="4" w:space="0"/>
            </w:tcBorders>
            <w:shd w:val="clear" w:color="000000" w:fill="FFFFFF"/>
            <w:noWrap/>
            <w:vAlign w:val="center"/>
          </w:tcPr>
          <w:p w14:paraId="7A2EE636">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部门履职目标</w:t>
            </w:r>
          </w:p>
        </w:tc>
        <w:tc>
          <w:tcPr>
            <w:tcW w:w="2225" w:type="dxa"/>
            <w:tcBorders>
              <w:top w:val="nil"/>
              <w:left w:val="nil"/>
              <w:bottom w:val="single" w:color="auto" w:sz="4" w:space="0"/>
              <w:right w:val="single" w:color="auto" w:sz="4" w:space="0"/>
            </w:tcBorders>
            <w:shd w:val="clear" w:color="000000" w:fill="FFFFFF"/>
            <w:noWrap/>
            <w:vAlign w:val="center"/>
          </w:tcPr>
          <w:p w14:paraId="2595D025">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工作完成情况</w:t>
            </w:r>
          </w:p>
        </w:tc>
        <w:tc>
          <w:tcPr>
            <w:tcW w:w="1264" w:type="dxa"/>
            <w:tcBorders>
              <w:top w:val="nil"/>
              <w:left w:val="nil"/>
              <w:bottom w:val="single" w:color="auto" w:sz="4" w:space="0"/>
              <w:right w:val="single" w:color="auto" w:sz="4" w:space="0"/>
            </w:tcBorders>
            <w:shd w:val="clear" w:color="000000" w:fill="FFFFFF"/>
            <w:noWrap/>
            <w:vAlign w:val="center"/>
          </w:tcPr>
          <w:p w14:paraId="7683C1C2">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13.5</w:t>
            </w:r>
          </w:p>
        </w:tc>
        <w:tc>
          <w:tcPr>
            <w:tcW w:w="1760" w:type="dxa"/>
            <w:tcBorders>
              <w:top w:val="nil"/>
              <w:left w:val="nil"/>
              <w:bottom w:val="single" w:color="auto" w:sz="4" w:space="0"/>
              <w:right w:val="single" w:color="auto" w:sz="4" w:space="0"/>
            </w:tcBorders>
            <w:shd w:val="clear" w:color="000000" w:fill="FFFFFF"/>
            <w:noWrap/>
            <w:vAlign w:val="center"/>
          </w:tcPr>
          <w:p w14:paraId="5B7F19F1">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&lt;=100%</w:t>
            </w:r>
          </w:p>
        </w:tc>
        <w:tc>
          <w:tcPr>
            <w:tcW w:w="1829" w:type="dxa"/>
            <w:tcBorders>
              <w:top w:val="nil"/>
              <w:left w:val="nil"/>
              <w:bottom w:val="single" w:color="auto" w:sz="4" w:space="0"/>
              <w:right w:val="single" w:color="auto" w:sz="4" w:space="0"/>
            </w:tcBorders>
            <w:shd w:val="clear" w:color="000000" w:fill="FFFFFF"/>
            <w:noWrap/>
            <w:vAlign w:val="center"/>
          </w:tcPr>
          <w:p w14:paraId="0D62A382">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98%</w:t>
            </w:r>
          </w:p>
        </w:tc>
        <w:tc>
          <w:tcPr>
            <w:tcW w:w="1352" w:type="dxa"/>
            <w:tcBorders>
              <w:top w:val="nil"/>
              <w:left w:val="nil"/>
              <w:bottom w:val="single" w:color="auto" w:sz="4" w:space="0"/>
              <w:right w:val="single" w:color="auto" w:sz="4" w:space="0"/>
            </w:tcBorders>
            <w:shd w:val="clear" w:color="000000" w:fill="FFFFFF"/>
            <w:noWrap/>
            <w:vAlign w:val="center"/>
          </w:tcPr>
          <w:p w14:paraId="51995C58">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98.00%</w:t>
            </w:r>
          </w:p>
        </w:tc>
        <w:tc>
          <w:tcPr>
            <w:tcW w:w="1232" w:type="dxa"/>
            <w:tcBorders>
              <w:top w:val="nil"/>
              <w:left w:val="nil"/>
              <w:bottom w:val="single" w:color="auto" w:sz="4" w:space="0"/>
              <w:right w:val="single" w:color="auto" w:sz="4" w:space="0"/>
            </w:tcBorders>
            <w:shd w:val="clear" w:color="000000" w:fill="FFFFFF"/>
            <w:noWrap/>
            <w:vAlign w:val="center"/>
          </w:tcPr>
          <w:p w14:paraId="613193BB">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13.5</w:t>
            </w:r>
          </w:p>
        </w:tc>
      </w:tr>
      <w:tr w14:paraId="09F390E3">
        <w:tblPrEx>
          <w:tblCellMar>
            <w:top w:w="0" w:type="dxa"/>
            <w:left w:w="108" w:type="dxa"/>
            <w:bottom w:w="0" w:type="dxa"/>
            <w:right w:w="108" w:type="dxa"/>
          </w:tblCellMar>
        </w:tblPrEx>
        <w:trPr>
          <w:trHeight w:val="402" w:hRule="atLeast"/>
        </w:trPr>
        <w:tc>
          <w:tcPr>
            <w:tcW w:w="2128" w:type="dxa"/>
            <w:vMerge w:val="continue"/>
            <w:tcBorders>
              <w:top w:val="nil"/>
              <w:left w:val="single" w:color="auto" w:sz="4" w:space="0"/>
              <w:bottom w:val="single" w:color="auto" w:sz="4" w:space="0"/>
              <w:right w:val="single" w:color="auto" w:sz="4" w:space="0"/>
            </w:tcBorders>
            <w:vAlign w:val="center"/>
          </w:tcPr>
          <w:p w14:paraId="7B0F104E">
            <w:pPr>
              <w:widowControl/>
              <w:spacing w:line="240" w:lineRule="auto"/>
              <w:jc w:val="left"/>
              <w:rPr>
                <w:rFonts w:ascii="宋体" w:hAnsi="宋体" w:eastAsia="宋体" w:cs="Arial"/>
                <w:color w:val="333333"/>
                <w:kern w:val="0"/>
                <w:sz w:val="18"/>
                <w:szCs w:val="18"/>
              </w:rPr>
            </w:pPr>
          </w:p>
        </w:tc>
        <w:tc>
          <w:tcPr>
            <w:tcW w:w="2502" w:type="dxa"/>
            <w:tcBorders>
              <w:top w:val="nil"/>
              <w:left w:val="nil"/>
              <w:bottom w:val="single" w:color="auto" w:sz="4" w:space="0"/>
              <w:right w:val="single" w:color="auto" w:sz="4" w:space="0"/>
            </w:tcBorders>
            <w:shd w:val="clear" w:color="000000" w:fill="FFFFFF"/>
            <w:noWrap/>
            <w:vAlign w:val="center"/>
          </w:tcPr>
          <w:p w14:paraId="54EBF7F9">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部门效果目标</w:t>
            </w:r>
          </w:p>
        </w:tc>
        <w:tc>
          <w:tcPr>
            <w:tcW w:w="2225" w:type="dxa"/>
            <w:tcBorders>
              <w:top w:val="nil"/>
              <w:left w:val="nil"/>
              <w:bottom w:val="single" w:color="auto" w:sz="4" w:space="0"/>
              <w:right w:val="single" w:color="auto" w:sz="4" w:space="0"/>
            </w:tcBorders>
            <w:shd w:val="clear" w:color="000000" w:fill="FFFFFF"/>
            <w:noWrap/>
            <w:vAlign w:val="center"/>
          </w:tcPr>
          <w:p w14:paraId="3515F646">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实际完成成果</w:t>
            </w:r>
          </w:p>
        </w:tc>
        <w:tc>
          <w:tcPr>
            <w:tcW w:w="1264" w:type="dxa"/>
            <w:tcBorders>
              <w:top w:val="nil"/>
              <w:left w:val="nil"/>
              <w:bottom w:val="single" w:color="auto" w:sz="4" w:space="0"/>
              <w:right w:val="single" w:color="auto" w:sz="4" w:space="0"/>
            </w:tcBorders>
            <w:shd w:val="clear" w:color="000000" w:fill="FFFFFF"/>
            <w:noWrap/>
            <w:vAlign w:val="center"/>
          </w:tcPr>
          <w:p w14:paraId="67E2B2A5">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13.5</w:t>
            </w:r>
          </w:p>
        </w:tc>
        <w:tc>
          <w:tcPr>
            <w:tcW w:w="1760" w:type="dxa"/>
            <w:tcBorders>
              <w:top w:val="nil"/>
              <w:left w:val="nil"/>
              <w:bottom w:val="single" w:color="auto" w:sz="4" w:space="0"/>
              <w:right w:val="single" w:color="auto" w:sz="4" w:space="0"/>
            </w:tcBorders>
            <w:shd w:val="clear" w:color="000000" w:fill="FFFFFF"/>
            <w:noWrap/>
            <w:vAlign w:val="center"/>
          </w:tcPr>
          <w:p w14:paraId="41CDB9C9">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&lt;=95%</w:t>
            </w:r>
          </w:p>
        </w:tc>
        <w:tc>
          <w:tcPr>
            <w:tcW w:w="1829" w:type="dxa"/>
            <w:tcBorders>
              <w:top w:val="nil"/>
              <w:left w:val="nil"/>
              <w:bottom w:val="single" w:color="auto" w:sz="4" w:space="0"/>
              <w:right w:val="single" w:color="auto" w:sz="4" w:space="0"/>
            </w:tcBorders>
            <w:shd w:val="clear" w:color="000000" w:fill="FFFFFF"/>
            <w:noWrap/>
            <w:vAlign w:val="center"/>
          </w:tcPr>
          <w:p w14:paraId="67A2CC2E">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95%</w:t>
            </w:r>
          </w:p>
        </w:tc>
        <w:tc>
          <w:tcPr>
            <w:tcW w:w="1352" w:type="dxa"/>
            <w:tcBorders>
              <w:top w:val="nil"/>
              <w:left w:val="nil"/>
              <w:bottom w:val="single" w:color="auto" w:sz="4" w:space="0"/>
              <w:right w:val="single" w:color="auto" w:sz="4" w:space="0"/>
            </w:tcBorders>
            <w:shd w:val="clear" w:color="000000" w:fill="FFFFFF"/>
            <w:noWrap/>
            <w:vAlign w:val="center"/>
          </w:tcPr>
          <w:p w14:paraId="7751618C">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100.00%</w:t>
            </w:r>
          </w:p>
        </w:tc>
        <w:tc>
          <w:tcPr>
            <w:tcW w:w="1232" w:type="dxa"/>
            <w:tcBorders>
              <w:top w:val="nil"/>
              <w:left w:val="nil"/>
              <w:bottom w:val="single" w:color="auto" w:sz="4" w:space="0"/>
              <w:right w:val="single" w:color="auto" w:sz="4" w:space="0"/>
            </w:tcBorders>
            <w:shd w:val="clear" w:color="000000" w:fill="FFFFFF"/>
            <w:noWrap/>
            <w:vAlign w:val="center"/>
          </w:tcPr>
          <w:p w14:paraId="25E40BB8">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13.5</w:t>
            </w:r>
          </w:p>
        </w:tc>
      </w:tr>
      <w:tr w14:paraId="4E92FE35">
        <w:tblPrEx>
          <w:tblCellMar>
            <w:top w:w="0" w:type="dxa"/>
            <w:left w:w="108" w:type="dxa"/>
            <w:bottom w:w="0" w:type="dxa"/>
            <w:right w:w="108" w:type="dxa"/>
          </w:tblCellMar>
        </w:tblPrEx>
        <w:trPr>
          <w:trHeight w:val="402" w:hRule="atLeast"/>
        </w:trPr>
        <w:tc>
          <w:tcPr>
            <w:tcW w:w="2128" w:type="dxa"/>
            <w:vMerge w:val="continue"/>
            <w:tcBorders>
              <w:top w:val="nil"/>
              <w:left w:val="single" w:color="auto" w:sz="4" w:space="0"/>
              <w:bottom w:val="single" w:color="auto" w:sz="4" w:space="0"/>
              <w:right w:val="single" w:color="auto" w:sz="4" w:space="0"/>
            </w:tcBorders>
            <w:vAlign w:val="center"/>
          </w:tcPr>
          <w:p w14:paraId="5DF0E9E3">
            <w:pPr>
              <w:widowControl/>
              <w:spacing w:line="240" w:lineRule="auto"/>
              <w:jc w:val="left"/>
              <w:rPr>
                <w:rFonts w:ascii="宋体" w:hAnsi="宋体" w:eastAsia="宋体" w:cs="Arial"/>
                <w:color w:val="333333"/>
                <w:kern w:val="0"/>
                <w:sz w:val="18"/>
                <w:szCs w:val="18"/>
              </w:rPr>
            </w:pPr>
          </w:p>
        </w:tc>
        <w:tc>
          <w:tcPr>
            <w:tcW w:w="2502" w:type="dxa"/>
            <w:tcBorders>
              <w:top w:val="nil"/>
              <w:left w:val="nil"/>
              <w:bottom w:val="single" w:color="auto" w:sz="4" w:space="0"/>
              <w:right w:val="single" w:color="auto" w:sz="4" w:space="0"/>
            </w:tcBorders>
            <w:shd w:val="clear" w:color="000000" w:fill="FFFFFF"/>
            <w:noWrap/>
            <w:vAlign w:val="center"/>
          </w:tcPr>
          <w:p w14:paraId="7D277347">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服务对象满意度</w:t>
            </w:r>
          </w:p>
        </w:tc>
        <w:tc>
          <w:tcPr>
            <w:tcW w:w="2225" w:type="dxa"/>
            <w:tcBorders>
              <w:top w:val="nil"/>
              <w:left w:val="nil"/>
              <w:bottom w:val="single" w:color="auto" w:sz="4" w:space="0"/>
              <w:right w:val="single" w:color="auto" w:sz="4" w:space="0"/>
            </w:tcBorders>
            <w:shd w:val="clear" w:color="000000" w:fill="FFFFFF"/>
            <w:noWrap/>
            <w:vAlign w:val="center"/>
          </w:tcPr>
          <w:p w14:paraId="7AF7A3D3">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满意度</w:t>
            </w:r>
          </w:p>
        </w:tc>
        <w:tc>
          <w:tcPr>
            <w:tcW w:w="1264" w:type="dxa"/>
            <w:tcBorders>
              <w:top w:val="nil"/>
              <w:left w:val="nil"/>
              <w:bottom w:val="single" w:color="auto" w:sz="4" w:space="0"/>
              <w:right w:val="single" w:color="auto" w:sz="4" w:space="0"/>
            </w:tcBorders>
            <w:shd w:val="clear" w:color="000000" w:fill="FFFFFF"/>
            <w:noWrap/>
            <w:vAlign w:val="center"/>
          </w:tcPr>
          <w:p w14:paraId="1A35579E">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13.5</w:t>
            </w:r>
          </w:p>
        </w:tc>
        <w:tc>
          <w:tcPr>
            <w:tcW w:w="1760" w:type="dxa"/>
            <w:tcBorders>
              <w:top w:val="nil"/>
              <w:left w:val="nil"/>
              <w:bottom w:val="single" w:color="auto" w:sz="4" w:space="0"/>
              <w:right w:val="single" w:color="auto" w:sz="4" w:space="0"/>
            </w:tcBorders>
            <w:shd w:val="clear" w:color="000000" w:fill="FFFFFF"/>
            <w:noWrap/>
            <w:vAlign w:val="center"/>
          </w:tcPr>
          <w:p w14:paraId="0360DAC7">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&lt;=95%</w:t>
            </w:r>
          </w:p>
        </w:tc>
        <w:tc>
          <w:tcPr>
            <w:tcW w:w="1829" w:type="dxa"/>
            <w:tcBorders>
              <w:top w:val="nil"/>
              <w:left w:val="nil"/>
              <w:bottom w:val="single" w:color="auto" w:sz="4" w:space="0"/>
              <w:right w:val="single" w:color="auto" w:sz="4" w:space="0"/>
            </w:tcBorders>
            <w:shd w:val="clear" w:color="000000" w:fill="FFFFFF"/>
            <w:noWrap/>
            <w:vAlign w:val="center"/>
          </w:tcPr>
          <w:p w14:paraId="59BFDD29">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95%</w:t>
            </w:r>
          </w:p>
        </w:tc>
        <w:tc>
          <w:tcPr>
            <w:tcW w:w="1352" w:type="dxa"/>
            <w:tcBorders>
              <w:top w:val="nil"/>
              <w:left w:val="nil"/>
              <w:bottom w:val="single" w:color="auto" w:sz="4" w:space="0"/>
              <w:right w:val="single" w:color="auto" w:sz="4" w:space="0"/>
            </w:tcBorders>
            <w:shd w:val="clear" w:color="000000" w:fill="FFFFFF"/>
            <w:noWrap/>
            <w:vAlign w:val="center"/>
          </w:tcPr>
          <w:p w14:paraId="12E2F13E">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100.00%</w:t>
            </w:r>
          </w:p>
        </w:tc>
        <w:tc>
          <w:tcPr>
            <w:tcW w:w="1232" w:type="dxa"/>
            <w:tcBorders>
              <w:top w:val="nil"/>
              <w:left w:val="nil"/>
              <w:bottom w:val="single" w:color="auto" w:sz="4" w:space="0"/>
              <w:right w:val="single" w:color="auto" w:sz="4" w:space="0"/>
            </w:tcBorders>
            <w:shd w:val="clear" w:color="000000" w:fill="FFFFFF"/>
            <w:noWrap/>
            <w:vAlign w:val="center"/>
          </w:tcPr>
          <w:p w14:paraId="6A6549AA">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13.5</w:t>
            </w:r>
          </w:p>
        </w:tc>
      </w:tr>
      <w:tr w14:paraId="6FDDF868">
        <w:tblPrEx>
          <w:tblCellMar>
            <w:top w:w="0" w:type="dxa"/>
            <w:left w:w="108" w:type="dxa"/>
            <w:bottom w:w="0" w:type="dxa"/>
            <w:right w:w="108" w:type="dxa"/>
          </w:tblCellMar>
        </w:tblPrEx>
        <w:trPr>
          <w:trHeight w:val="402" w:hRule="atLeast"/>
        </w:trPr>
        <w:tc>
          <w:tcPr>
            <w:tcW w:w="2128" w:type="dxa"/>
            <w:vMerge w:val="continue"/>
            <w:tcBorders>
              <w:top w:val="nil"/>
              <w:left w:val="single" w:color="auto" w:sz="4" w:space="0"/>
              <w:bottom w:val="single" w:color="auto" w:sz="4" w:space="0"/>
              <w:right w:val="single" w:color="auto" w:sz="4" w:space="0"/>
            </w:tcBorders>
            <w:vAlign w:val="center"/>
          </w:tcPr>
          <w:p w14:paraId="0F1E07DB">
            <w:pPr>
              <w:widowControl/>
              <w:spacing w:line="240" w:lineRule="auto"/>
              <w:jc w:val="left"/>
              <w:rPr>
                <w:rFonts w:ascii="宋体" w:hAnsi="宋体" w:eastAsia="宋体" w:cs="Arial"/>
                <w:color w:val="333333"/>
                <w:kern w:val="0"/>
                <w:sz w:val="18"/>
                <w:szCs w:val="18"/>
              </w:rPr>
            </w:pPr>
          </w:p>
        </w:tc>
        <w:tc>
          <w:tcPr>
            <w:tcW w:w="2502" w:type="dxa"/>
            <w:tcBorders>
              <w:top w:val="nil"/>
              <w:left w:val="nil"/>
              <w:bottom w:val="single" w:color="auto" w:sz="4" w:space="0"/>
              <w:right w:val="single" w:color="auto" w:sz="4" w:space="0"/>
            </w:tcBorders>
            <w:shd w:val="clear" w:color="000000" w:fill="FFFFFF"/>
            <w:noWrap/>
            <w:vAlign w:val="center"/>
          </w:tcPr>
          <w:p w14:paraId="6941D8DE">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社会影响</w:t>
            </w:r>
          </w:p>
        </w:tc>
        <w:tc>
          <w:tcPr>
            <w:tcW w:w="2225" w:type="dxa"/>
            <w:tcBorders>
              <w:top w:val="nil"/>
              <w:left w:val="nil"/>
              <w:bottom w:val="single" w:color="auto" w:sz="4" w:space="0"/>
              <w:right w:val="single" w:color="auto" w:sz="4" w:space="0"/>
            </w:tcBorders>
            <w:shd w:val="clear" w:color="000000" w:fill="FFFFFF"/>
            <w:noWrap/>
            <w:vAlign w:val="center"/>
          </w:tcPr>
          <w:p w14:paraId="289E3957">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履职效果社会影响程度</w:t>
            </w:r>
          </w:p>
        </w:tc>
        <w:tc>
          <w:tcPr>
            <w:tcW w:w="1264" w:type="dxa"/>
            <w:tcBorders>
              <w:top w:val="nil"/>
              <w:left w:val="nil"/>
              <w:bottom w:val="single" w:color="auto" w:sz="4" w:space="0"/>
              <w:right w:val="single" w:color="auto" w:sz="4" w:space="0"/>
            </w:tcBorders>
            <w:shd w:val="clear" w:color="000000" w:fill="FFFFFF"/>
            <w:noWrap/>
            <w:vAlign w:val="center"/>
          </w:tcPr>
          <w:p w14:paraId="0FA813E3">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13.5</w:t>
            </w:r>
          </w:p>
        </w:tc>
        <w:tc>
          <w:tcPr>
            <w:tcW w:w="1760" w:type="dxa"/>
            <w:tcBorders>
              <w:top w:val="nil"/>
              <w:left w:val="nil"/>
              <w:bottom w:val="single" w:color="auto" w:sz="4" w:space="0"/>
              <w:right w:val="single" w:color="auto" w:sz="4" w:space="0"/>
            </w:tcBorders>
            <w:shd w:val="clear" w:color="000000" w:fill="FFFFFF"/>
            <w:noWrap/>
            <w:vAlign w:val="center"/>
          </w:tcPr>
          <w:p w14:paraId="1EFEE921">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良好</w:t>
            </w:r>
          </w:p>
        </w:tc>
        <w:tc>
          <w:tcPr>
            <w:tcW w:w="1829" w:type="dxa"/>
            <w:tcBorders>
              <w:top w:val="nil"/>
              <w:left w:val="nil"/>
              <w:bottom w:val="single" w:color="auto" w:sz="4" w:space="0"/>
              <w:right w:val="single" w:color="auto" w:sz="4" w:space="0"/>
            </w:tcBorders>
            <w:shd w:val="clear" w:color="000000" w:fill="FFFFFF"/>
            <w:noWrap/>
            <w:vAlign w:val="center"/>
          </w:tcPr>
          <w:p w14:paraId="27711B7B">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98%</w:t>
            </w:r>
          </w:p>
        </w:tc>
        <w:tc>
          <w:tcPr>
            <w:tcW w:w="1352" w:type="dxa"/>
            <w:tcBorders>
              <w:top w:val="nil"/>
              <w:left w:val="nil"/>
              <w:bottom w:val="single" w:color="auto" w:sz="4" w:space="0"/>
              <w:right w:val="single" w:color="auto" w:sz="4" w:space="0"/>
            </w:tcBorders>
            <w:shd w:val="clear" w:color="000000" w:fill="FFFFFF"/>
            <w:noWrap/>
            <w:vAlign w:val="center"/>
          </w:tcPr>
          <w:p w14:paraId="41A1A92B">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98%</w:t>
            </w:r>
          </w:p>
        </w:tc>
        <w:tc>
          <w:tcPr>
            <w:tcW w:w="1232" w:type="dxa"/>
            <w:tcBorders>
              <w:top w:val="nil"/>
              <w:left w:val="nil"/>
              <w:bottom w:val="single" w:color="auto" w:sz="4" w:space="0"/>
              <w:right w:val="single" w:color="auto" w:sz="4" w:space="0"/>
            </w:tcBorders>
            <w:shd w:val="clear" w:color="000000" w:fill="FFFFFF"/>
            <w:noWrap/>
            <w:vAlign w:val="center"/>
          </w:tcPr>
          <w:p w14:paraId="0CDFC5BC">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13.5</w:t>
            </w:r>
          </w:p>
        </w:tc>
      </w:tr>
      <w:tr w14:paraId="382787D2">
        <w:tblPrEx>
          <w:tblCellMar>
            <w:top w:w="0" w:type="dxa"/>
            <w:left w:w="108" w:type="dxa"/>
            <w:bottom w:w="0" w:type="dxa"/>
            <w:right w:w="108" w:type="dxa"/>
          </w:tblCellMar>
        </w:tblPrEx>
        <w:trPr>
          <w:trHeight w:val="402" w:hRule="atLeast"/>
        </w:trPr>
        <w:tc>
          <w:tcPr>
            <w:tcW w:w="2128" w:type="dxa"/>
            <w:vMerge w:val="restart"/>
            <w:tcBorders>
              <w:top w:val="nil"/>
              <w:left w:val="single" w:color="auto" w:sz="4" w:space="0"/>
              <w:bottom w:val="single" w:color="auto" w:sz="4" w:space="0"/>
              <w:right w:val="single" w:color="auto" w:sz="4" w:space="0"/>
            </w:tcBorders>
            <w:shd w:val="clear" w:color="000000" w:fill="FFFFFF"/>
            <w:noWrap/>
            <w:vAlign w:val="center"/>
          </w:tcPr>
          <w:p w14:paraId="22A8F9FC">
            <w:pPr>
              <w:widowControl/>
              <w:spacing w:line="240" w:lineRule="auto"/>
              <w:jc w:val="center"/>
              <w:rPr>
                <w:rFonts w:ascii="宋体" w:hAnsi="宋体" w:eastAsia="宋体" w:cs="Arial"/>
                <w:color w:val="333333"/>
                <w:kern w:val="0"/>
                <w:sz w:val="18"/>
                <w:szCs w:val="18"/>
              </w:rPr>
            </w:pPr>
            <w:r>
              <w:rPr>
                <w:rFonts w:hint="eastAsia" w:ascii="宋体" w:hAnsi="宋体" w:eastAsia="宋体" w:cs="Arial"/>
                <w:color w:val="333333"/>
                <w:kern w:val="0"/>
                <w:sz w:val="18"/>
                <w:szCs w:val="18"/>
              </w:rPr>
              <w:t>能力建设</w:t>
            </w:r>
          </w:p>
        </w:tc>
        <w:tc>
          <w:tcPr>
            <w:tcW w:w="2502" w:type="dxa"/>
            <w:tcBorders>
              <w:top w:val="nil"/>
              <w:left w:val="nil"/>
              <w:bottom w:val="single" w:color="auto" w:sz="4" w:space="0"/>
              <w:right w:val="single" w:color="auto" w:sz="4" w:space="0"/>
            </w:tcBorders>
            <w:shd w:val="clear" w:color="000000" w:fill="FFFFFF"/>
            <w:noWrap/>
            <w:vAlign w:val="center"/>
          </w:tcPr>
          <w:p w14:paraId="5322AD7E">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长效管理</w:t>
            </w:r>
          </w:p>
        </w:tc>
        <w:tc>
          <w:tcPr>
            <w:tcW w:w="2225" w:type="dxa"/>
            <w:tcBorders>
              <w:top w:val="nil"/>
              <w:left w:val="nil"/>
              <w:bottom w:val="single" w:color="auto" w:sz="4" w:space="0"/>
              <w:right w:val="single" w:color="auto" w:sz="4" w:space="0"/>
            </w:tcBorders>
            <w:shd w:val="clear" w:color="000000" w:fill="FFFFFF"/>
            <w:noWrap/>
            <w:vAlign w:val="center"/>
          </w:tcPr>
          <w:p w14:paraId="741CF0DE">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长效管理体制健全性</w:t>
            </w:r>
          </w:p>
        </w:tc>
        <w:tc>
          <w:tcPr>
            <w:tcW w:w="1264" w:type="dxa"/>
            <w:tcBorders>
              <w:top w:val="nil"/>
              <w:left w:val="nil"/>
              <w:bottom w:val="single" w:color="auto" w:sz="4" w:space="0"/>
              <w:right w:val="single" w:color="auto" w:sz="4" w:space="0"/>
            </w:tcBorders>
            <w:shd w:val="clear" w:color="000000" w:fill="FFFFFF"/>
            <w:noWrap/>
            <w:vAlign w:val="center"/>
          </w:tcPr>
          <w:p w14:paraId="26552ABD">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3</w:t>
            </w:r>
          </w:p>
        </w:tc>
        <w:tc>
          <w:tcPr>
            <w:tcW w:w="1760" w:type="dxa"/>
            <w:tcBorders>
              <w:top w:val="nil"/>
              <w:left w:val="nil"/>
              <w:bottom w:val="single" w:color="auto" w:sz="4" w:space="0"/>
              <w:right w:val="single" w:color="auto" w:sz="4" w:space="0"/>
            </w:tcBorders>
            <w:shd w:val="clear" w:color="000000" w:fill="FFFFFF"/>
            <w:noWrap/>
            <w:vAlign w:val="center"/>
          </w:tcPr>
          <w:p w14:paraId="0684572A">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健全</w:t>
            </w:r>
          </w:p>
        </w:tc>
        <w:tc>
          <w:tcPr>
            <w:tcW w:w="1829" w:type="dxa"/>
            <w:tcBorders>
              <w:top w:val="nil"/>
              <w:left w:val="nil"/>
              <w:bottom w:val="single" w:color="auto" w:sz="4" w:space="0"/>
              <w:right w:val="single" w:color="auto" w:sz="4" w:space="0"/>
            </w:tcBorders>
            <w:shd w:val="clear" w:color="000000" w:fill="FFFFFF"/>
            <w:noWrap/>
            <w:vAlign w:val="center"/>
          </w:tcPr>
          <w:p w14:paraId="75182A2F">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95%</w:t>
            </w:r>
          </w:p>
        </w:tc>
        <w:tc>
          <w:tcPr>
            <w:tcW w:w="1352" w:type="dxa"/>
            <w:tcBorders>
              <w:top w:val="nil"/>
              <w:left w:val="nil"/>
              <w:bottom w:val="single" w:color="auto" w:sz="4" w:space="0"/>
              <w:right w:val="single" w:color="auto" w:sz="4" w:space="0"/>
            </w:tcBorders>
            <w:shd w:val="clear" w:color="000000" w:fill="FFFFFF"/>
            <w:noWrap/>
            <w:vAlign w:val="center"/>
          </w:tcPr>
          <w:p w14:paraId="32AE6770">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95%</w:t>
            </w:r>
          </w:p>
        </w:tc>
        <w:tc>
          <w:tcPr>
            <w:tcW w:w="1232" w:type="dxa"/>
            <w:tcBorders>
              <w:top w:val="nil"/>
              <w:left w:val="nil"/>
              <w:bottom w:val="single" w:color="auto" w:sz="4" w:space="0"/>
              <w:right w:val="single" w:color="auto" w:sz="4" w:space="0"/>
            </w:tcBorders>
            <w:shd w:val="clear" w:color="000000" w:fill="FFFFFF"/>
            <w:noWrap/>
            <w:vAlign w:val="center"/>
          </w:tcPr>
          <w:p w14:paraId="4B38EFC8">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3</w:t>
            </w:r>
          </w:p>
        </w:tc>
      </w:tr>
      <w:tr w14:paraId="43F4D264">
        <w:tblPrEx>
          <w:tblCellMar>
            <w:top w:w="0" w:type="dxa"/>
            <w:left w:w="108" w:type="dxa"/>
            <w:bottom w:w="0" w:type="dxa"/>
            <w:right w:w="108" w:type="dxa"/>
          </w:tblCellMar>
        </w:tblPrEx>
        <w:trPr>
          <w:trHeight w:val="402" w:hRule="atLeast"/>
        </w:trPr>
        <w:tc>
          <w:tcPr>
            <w:tcW w:w="2128" w:type="dxa"/>
            <w:vMerge w:val="continue"/>
            <w:tcBorders>
              <w:top w:val="nil"/>
              <w:left w:val="single" w:color="auto" w:sz="4" w:space="0"/>
              <w:bottom w:val="single" w:color="auto" w:sz="4" w:space="0"/>
              <w:right w:val="single" w:color="auto" w:sz="4" w:space="0"/>
            </w:tcBorders>
            <w:vAlign w:val="center"/>
          </w:tcPr>
          <w:p w14:paraId="6B9EBA88">
            <w:pPr>
              <w:widowControl/>
              <w:spacing w:line="240" w:lineRule="auto"/>
              <w:jc w:val="left"/>
              <w:rPr>
                <w:rFonts w:ascii="宋体" w:hAnsi="宋体" w:eastAsia="宋体" w:cs="Arial"/>
                <w:color w:val="333333"/>
                <w:kern w:val="0"/>
                <w:sz w:val="18"/>
                <w:szCs w:val="18"/>
              </w:rPr>
            </w:pPr>
          </w:p>
        </w:tc>
        <w:tc>
          <w:tcPr>
            <w:tcW w:w="2502" w:type="dxa"/>
            <w:tcBorders>
              <w:top w:val="nil"/>
              <w:left w:val="nil"/>
              <w:bottom w:val="single" w:color="auto" w:sz="4" w:space="0"/>
              <w:right w:val="single" w:color="auto" w:sz="4" w:space="0"/>
            </w:tcBorders>
            <w:shd w:val="clear" w:color="000000" w:fill="FFFFFF"/>
            <w:noWrap/>
            <w:vAlign w:val="center"/>
          </w:tcPr>
          <w:p w14:paraId="0180DC90">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人力资源建设</w:t>
            </w:r>
          </w:p>
        </w:tc>
        <w:tc>
          <w:tcPr>
            <w:tcW w:w="2225" w:type="dxa"/>
            <w:tcBorders>
              <w:top w:val="nil"/>
              <w:left w:val="nil"/>
              <w:bottom w:val="single" w:color="auto" w:sz="4" w:space="0"/>
              <w:right w:val="single" w:color="auto" w:sz="4" w:space="0"/>
            </w:tcBorders>
            <w:shd w:val="clear" w:color="000000" w:fill="FFFFFF"/>
            <w:noWrap/>
            <w:vAlign w:val="center"/>
          </w:tcPr>
          <w:p w14:paraId="3CA49835">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人员变动情况</w:t>
            </w:r>
          </w:p>
        </w:tc>
        <w:tc>
          <w:tcPr>
            <w:tcW w:w="1264" w:type="dxa"/>
            <w:tcBorders>
              <w:top w:val="nil"/>
              <w:left w:val="nil"/>
              <w:bottom w:val="single" w:color="auto" w:sz="4" w:space="0"/>
              <w:right w:val="single" w:color="auto" w:sz="4" w:space="0"/>
            </w:tcBorders>
            <w:shd w:val="clear" w:color="000000" w:fill="FFFFFF"/>
            <w:noWrap/>
            <w:vAlign w:val="center"/>
          </w:tcPr>
          <w:p w14:paraId="5FF285A7">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3</w:t>
            </w:r>
          </w:p>
        </w:tc>
        <w:tc>
          <w:tcPr>
            <w:tcW w:w="1760" w:type="dxa"/>
            <w:tcBorders>
              <w:top w:val="nil"/>
              <w:left w:val="nil"/>
              <w:bottom w:val="single" w:color="auto" w:sz="4" w:space="0"/>
              <w:right w:val="single" w:color="auto" w:sz="4" w:space="0"/>
            </w:tcBorders>
            <w:shd w:val="clear" w:color="000000" w:fill="FFFFFF"/>
            <w:noWrap/>
            <w:vAlign w:val="center"/>
          </w:tcPr>
          <w:p w14:paraId="11000945">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&lt;=100%</w:t>
            </w:r>
          </w:p>
        </w:tc>
        <w:tc>
          <w:tcPr>
            <w:tcW w:w="1829" w:type="dxa"/>
            <w:tcBorders>
              <w:top w:val="nil"/>
              <w:left w:val="nil"/>
              <w:bottom w:val="single" w:color="auto" w:sz="4" w:space="0"/>
              <w:right w:val="single" w:color="auto" w:sz="4" w:space="0"/>
            </w:tcBorders>
            <w:shd w:val="clear" w:color="000000" w:fill="FFFFFF"/>
            <w:noWrap/>
            <w:vAlign w:val="center"/>
          </w:tcPr>
          <w:p w14:paraId="6C6D0E99">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w:t>
            </w:r>
          </w:p>
        </w:tc>
        <w:tc>
          <w:tcPr>
            <w:tcW w:w="1352" w:type="dxa"/>
            <w:tcBorders>
              <w:top w:val="nil"/>
              <w:left w:val="nil"/>
              <w:bottom w:val="single" w:color="auto" w:sz="4" w:space="0"/>
              <w:right w:val="single" w:color="auto" w:sz="4" w:space="0"/>
            </w:tcBorders>
            <w:shd w:val="clear" w:color="000000" w:fill="FFFFFF"/>
            <w:noWrap/>
            <w:vAlign w:val="center"/>
          </w:tcPr>
          <w:p w14:paraId="37C6B22F">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100.00%</w:t>
            </w:r>
          </w:p>
        </w:tc>
        <w:tc>
          <w:tcPr>
            <w:tcW w:w="1232" w:type="dxa"/>
            <w:tcBorders>
              <w:top w:val="nil"/>
              <w:left w:val="nil"/>
              <w:bottom w:val="single" w:color="auto" w:sz="4" w:space="0"/>
              <w:right w:val="single" w:color="auto" w:sz="4" w:space="0"/>
            </w:tcBorders>
            <w:shd w:val="clear" w:color="000000" w:fill="FFFFFF"/>
            <w:noWrap/>
            <w:vAlign w:val="center"/>
          </w:tcPr>
          <w:p w14:paraId="31D59013">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3</w:t>
            </w:r>
          </w:p>
        </w:tc>
      </w:tr>
      <w:tr w14:paraId="2D2569B0">
        <w:tblPrEx>
          <w:tblCellMar>
            <w:top w:w="0" w:type="dxa"/>
            <w:left w:w="108" w:type="dxa"/>
            <w:bottom w:w="0" w:type="dxa"/>
            <w:right w:w="108" w:type="dxa"/>
          </w:tblCellMar>
        </w:tblPrEx>
        <w:trPr>
          <w:trHeight w:val="390" w:hRule="atLeast"/>
        </w:trPr>
        <w:tc>
          <w:tcPr>
            <w:tcW w:w="2128" w:type="dxa"/>
            <w:vMerge w:val="continue"/>
            <w:tcBorders>
              <w:top w:val="nil"/>
              <w:left w:val="single" w:color="auto" w:sz="4" w:space="0"/>
              <w:bottom w:val="single" w:color="auto" w:sz="4" w:space="0"/>
              <w:right w:val="single" w:color="auto" w:sz="4" w:space="0"/>
            </w:tcBorders>
            <w:vAlign w:val="center"/>
          </w:tcPr>
          <w:p w14:paraId="54DA137D">
            <w:pPr>
              <w:widowControl/>
              <w:spacing w:line="240" w:lineRule="auto"/>
              <w:jc w:val="left"/>
              <w:rPr>
                <w:rFonts w:ascii="宋体" w:hAnsi="宋体" w:eastAsia="宋体" w:cs="Arial"/>
                <w:color w:val="333333"/>
                <w:kern w:val="0"/>
                <w:sz w:val="18"/>
                <w:szCs w:val="18"/>
              </w:rPr>
            </w:pPr>
          </w:p>
        </w:tc>
        <w:tc>
          <w:tcPr>
            <w:tcW w:w="2502" w:type="dxa"/>
            <w:tcBorders>
              <w:top w:val="nil"/>
              <w:left w:val="nil"/>
              <w:bottom w:val="single" w:color="auto" w:sz="4" w:space="0"/>
              <w:right w:val="single" w:color="auto" w:sz="4" w:space="0"/>
            </w:tcBorders>
            <w:shd w:val="clear" w:color="000000" w:fill="FFFFFF"/>
            <w:noWrap/>
            <w:vAlign w:val="center"/>
          </w:tcPr>
          <w:p w14:paraId="4E75005A">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档案管理</w:t>
            </w:r>
          </w:p>
        </w:tc>
        <w:tc>
          <w:tcPr>
            <w:tcW w:w="2225" w:type="dxa"/>
            <w:tcBorders>
              <w:top w:val="nil"/>
              <w:left w:val="nil"/>
              <w:bottom w:val="single" w:color="auto" w:sz="4" w:space="0"/>
              <w:right w:val="single" w:color="auto" w:sz="4" w:space="0"/>
            </w:tcBorders>
            <w:shd w:val="clear" w:color="000000" w:fill="FFFFFF"/>
            <w:noWrap/>
            <w:vAlign w:val="center"/>
          </w:tcPr>
          <w:p w14:paraId="257C86DD">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档案归档及时性</w:t>
            </w:r>
          </w:p>
        </w:tc>
        <w:tc>
          <w:tcPr>
            <w:tcW w:w="1264" w:type="dxa"/>
            <w:tcBorders>
              <w:top w:val="nil"/>
              <w:left w:val="nil"/>
              <w:bottom w:val="single" w:color="auto" w:sz="4" w:space="0"/>
              <w:right w:val="single" w:color="auto" w:sz="4" w:space="0"/>
            </w:tcBorders>
            <w:shd w:val="clear" w:color="000000" w:fill="FFFFFF"/>
            <w:noWrap/>
            <w:vAlign w:val="center"/>
          </w:tcPr>
          <w:p w14:paraId="281A6A23">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3</w:t>
            </w:r>
          </w:p>
        </w:tc>
        <w:tc>
          <w:tcPr>
            <w:tcW w:w="1760" w:type="dxa"/>
            <w:tcBorders>
              <w:top w:val="nil"/>
              <w:left w:val="nil"/>
              <w:bottom w:val="single" w:color="auto" w:sz="4" w:space="0"/>
              <w:right w:val="single" w:color="auto" w:sz="4" w:space="0"/>
            </w:tcBorders>
            <w:shd w:val="clear" w:color="000000" w:fill="FFFFFF"/>
            <w:noWrap/>
            <w:vAlign w:val="center"/>
          </w:tcPr>
          <w:p w14:paraId="15D8C0B4">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&lt;=100%</w:t>
            </w:r>
          </w:p>
        </w:tc>
        <w:tc>
          <w:tcPr>
            <w:tcW w:w="1829" w:type="dxa"/>
            <w:tcBorders>
              <w:top w:val="nil"/>
              <w:left w:val="nil"/>
              <w:bottom w:val="single" w:color="auto" w:sz="4" w:space="0"/>
              <w:right w:val="single" w:color="auto" w:sz="4" w:space="0"/>
            </w:tcBorders>
            <w:shd w:val="clear" w:color="000000" w:fill="FFFFFF"/>
            <w:noWrap/>
            <w:vAlign w:val="center"/>
          </w:tcPr>
          <w:p w14:paraId="23B32ECC">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95%</w:t>
            </w:r>
          </w:p>
        </w:tc>
        <w:tc>
          <w:tcPr>
            <w:tcW w:w="1352" w:type="dxa"/>
            <w:tcBorders>
              <w:top w:val="nil"/>
              <w:left w:val="nil"/>
              <w:bottom w:val="single" w:color="auto" w:sz="4" w:space="0"/>
              <w:right w:val="single" w:color="auto" w:sz="4" w:space="0"/>
            </w:tcBorders>
            <w:shd w:val="clear" w:color="000000" w:fill="FFFFFF"/>
            <w:noWrap/>
            <w:vAlign w:val="center"/>
          </w:tcPr>
          <w:p w14:paraId="340F0105">
            <w:pPr>
              <w:widowControl/>
              <w:spacing w:line="240" w:lineRule="auto"/>
              <w:jc w:val="left"/>
              <w:rPr>
                <w:rFonts w:ascii="宋体" w:hAnsi="宋体" w:eastAsia="宋体" w:cs="Arial"/>
                <w:color w:val="333333"/>
                <w:kern w:val="0"/>
                <w:sz w:val="18"/>
                <w:szCs w:val="18"/>
              </w:rPr>
            </w:pPr>
            <w:r>
              <w:rPr>
                <w:rFonts w:hint="eastAsia" w:ascii="宋体" w:hAnsi="宋体" w:eastAsia="宋体" w:cs="Arial"/>
                <w:color w:val="333333"/>
                <w:kern w:val="0"/>
                <w:sz w:val="18"/>
                <w:szCs w:val="18"/>
              </w:rPr>
              <w:t>95.00%</w:t>
            </w:r>
          </w:p>
        </w:tc>
        <w:tc>
          <w:tcPr>
            <w:tcW w:w="1232" w:type="dxa"/>
            <w:tcBorders>
              <w:top w:val="nil"/>
              <w:left w:val="nil"/>
              <w:bottom w:val="single" w:color="auto" w:sz="4" w:space="0"/>
              <w:right w:val="single" w:color="auto" w:sz="4" w:space="0"/>
            </w:tcBorders>
            <w:shd w:val="clear" w:color="000000" w:fill="FFFFFF"/>
            <w:noWrap/>
            <w:vAlign w:val="center"/>
          </w:tcPr>
          <w:p w14:paraId="1FCD269C">
            <w:pPr>
              <w:widowControl/>
              <w:spacing w:line="240" w:lineRule="auto"/>
              <w:jc w:val="right"/>
              <w:rPr>
                <w:rFonts w:ascii="宋体" w:hAnsi="宋体" w:eastAsia="宋体" w:cs="Arial"/>
                <w:color w:val="333333"/>
                <w:kern w:val="0"/>
                <w:sz w:val="18"/>
                <w:szCs w:val="18"/>
              </w:rPr>
            </w:pPr>
            <w:r>
              <w:rPr>
                <w:rFonts w:hint="eastAsia" w:ascii="宋体" w:hAnsi="宋体" w:eastAsia="宋体" w:cs="Arial"/>
                <w:color w:val="333333"/>
                <w:kern w:val="0"/>
                <w:sz w:val="18"/>
                <w:szCs w:val="18"/>
              </w:rPr>
              <w:t>3</w:t>
            </w:r>
          </w:p>
        </w:tc>
      </w:tr>
    </w:tbl>
    <w:p w14:paraId="19459A8E">
      <w:pPr>
        <w:widowControl/>
        <w:spacing w:line="240" w:lineRule="auto"/>
        <w:rPr>
          <w:rFonts w:ascii="宋体" w:hAnsi="宋体" w:eastAsia="宋体" w:cs="Arial"/>
          <w:b/>
          <w:bCs/>
          <w:color w:val="000000"/>
          <w:kern w:val="0"/>
          <w:sz w:val="24"/>
          <w:szCs w:val="24"/>
        </w:rPr>
        <w:sectPr>
          <w:pgSz w:w="16838" w:h="11906" w:orient="landscape"/>
          <w:pgMar w:top="1587" w:right="2154" w:bottom="1531" w:left="1587" w:header="851" w:footer="1417" w:gutter="0"/>
          <w:pgNumType w:start="4"/>
          <w:cols w:space="0" w:num="1"/>
          <w:docGrid w:type="lines" w:linePitch="436" w:charSpace="0"/>
        </w:sectPr>
      </w:pPr>
    </w:p>
    <w:tbl>
      <w:tblPr>
        <w:tblStyle w:val="12"/>
        <w:tblpPr w:leftFromText="180" w:rightFromText="180" w:vertAnchor="page" w:horzAnchor="page" w:tblpX="1" w:tblpY="1336"/>
        <w:tblW w:w="13536" w:type="dxa"/>
        <w:tblInd w:w="0" w:type="dxa"/>
        <w:tblLayout w:type="autofit"/>
        <w:tblCellMar>
          <w:top w:w="0" w:type="dxa"/>
          <w:left w:w="108" w:type="dxa"/>
          <w:bottom w:w="0" w:type="dxa"/>
          <w:right w:w="108" w:type="dxa"/>
        </w:tblCellMar>
      </w:tblPr>
      <w:tblGrid>
        <w:gridCol w:w="13536"/>
      </w:tblGrid>
      <w:tr w14:paraId="2761179F">
        <w:tblPrEx>
          <w:tblCellMar>
            <w:top w:w="0" w:type="dxa"/>
            <w:left w:w="108" w:type="dxa"/>
            <w:bottom w:w="0" w:type="dxa"/>
            <w:right w:w="108" w:type="dxa"/>
          </w:tblCellMar>
        </w:tblPrEx>
        <w:trPr>
          <w:trHeight w:val="540" w:hRule="atLeast"/>
        </w:trPr>
        <w:tc>
          <w:tcPr>
            <w:tcW w:w="13536" w:type="dxa"/>
            <w:tcBorders>
              <w:top w:val="nil"/>
              <w:left w:val="nil"/>
              <w:bottom w:val="nil"/>
              <w:right w:val="nil"/>
            </w:tcBorders>
            <w:shd w:val="clear" w:color="auto" w:fill="auto"/>
            <w:vAlign w:val="center"/>
          </w:tcPr>
          <w:p w14:paraId="42CCC056">
            <w:pPr>
              <w:pStyle w:val="4"/>
            </w:pPr>
          </w:p>
        </w:tc>
      </w:tr>
    </w:tbl>
    <w:p w14:paraId="33308B68">
      <w:pPr>
        <w:pStyle w:val="5"/>
        <w:ind w:firstLine="0" w:firstLineChars="0"/>
      </w:pPr>
      <w:r>
        <w:rPr>
          <w:rFonts w:hint="eastAsia"/>
        </w:rPr>
        <w:t>三、部门整体支出绩效评价分析</w:t>
      </w:r>
    </w:p>
    <w:p w14:paraId="652777A4">
      <w:pPr>
        <w:pStyle w:val="5"/>
      </w:pPr>
      <w:r>
        <w:t xml:space="preserve">（一）投入情况分析 </w:t>
      </w:r>
    </w:p>
    <w:p w14:paraId="7F897590">
      <w:pPr>
        <w:spacing w:line="560" w:lineRule="exact"/>
        <w:ind w:firstLine="640" w:firstLineChars="200"/>
        <w:rPr>
          <w:rFonts w:ascii="仿宋_GB2312"/>
          <w:szCs w:val="32"/>
        </w:rPr>
      </w:pPr>
      <w:r>
        <w:rPr>
          <w:rFonts w:ascii="仿宋_GB2312"/>
          <w:szCs w:val="32"/>
        </w:rPr>
        <w:t>1．</w:t>
      </w:r>
      <w:r>
        <w:rPr>
          <w:rFonts w:hint="eastAsia" w:ascii="仿宋_GB2312"/>
          <w:szCs w:val="32"/>
        </w:rPr>
        <w:t>预算编制</w:t>
      </w:r>
      <w:r>
        <w:rPr>
          <w:rFonts w:ascii="仿宋_GB2312"/>
          <w:szCs w:val="32"/>
        </w:rPr>
        <w:t>情况分析</w:t>
      </w:r>
      <w:r>
        <w:rPr>
          <w:rFonts w:hint="eastAsia" w:ascii="仿宋_GB2312"/>
          <w:szCs w:val="32"/>
        </w:rPr>
        <w:t>：按照预算管理有关规定，2023年部门支出预算，仅包括机关本级预算。2023年支出预算</w:t>
      </w:r>
      <w:r>
        <w:rPr>
          <w:rFonts w:hint="eastAsia" w:ascii="仿宋_GB2312"/>
          <w:color w:val="000000"/>
          <w:szCs w:val="32"/>
          <w:lang w:val="en-US" w:eastAsia="zh-CN"/>
        </w:rPr>
        <w:t>954.81</w:t>
      </w:r>
      <w:r>
        <w:rPr>
          <w:rFonts w:hint="eastAsia" w:ascii="仿宋_GB2312"/>
          <w:szCs w:val="32"/>
        </w:rPr>
        <w:t>万元，当年财政拨款主要是：</w:t>
      </w:r>
      <w:r>
        <w:rPr>
          <w:rFonts w:hint="eastAsia" w:ascii="仿宋_GB2312"/>
          <w:color w:val="000000"/>
          <w:szCs w:val="32"/>
        </w:rPr>
        <w:t>一般公共服务支出</w:t>
      </w:r>
      <w:r>
        <w:rPr>
          <w:rFonts w:hint="eastAsia" w:ascii="仿宋_GB2312" w:hAnsi="仿宋_GB2312" w:cs="仿宋_GB2312"/>
          <w:kern w:val="0"/>
          <w:szCs w:val="28"/>
          <w:lang w:val="en-US" w:eastAsia="zh-CN"/>
        </w:rPr>
        <w:t>942.42</w:t>
      </w:r>
      <w:r>
        <w:rPr>
          <w:rFonts w:ascii="仿宋_GB2312"/>
          <w:color w:val="000000"/>
          <w:szCs w:val="32"/>
        </w:rPr>
        <w:t>万元、社保保障</w:t>
      </w:r>
      <w:r>
        <w:rPr>
          <w:rFonts w:hint="eastAsia" w:ascii="仿宋_GB2312"/>
          <w:color w:val="000000"/>
          <w:szCs w:val="32"/>
        </w:rPr>
        <w:t>和就业</w:t>
      </w:r>
      <w:r>
        <w:rPr>
          <w:rFonts w:ascii="仿宋_GB2312"/>
          <w:color w:val="000000"/>
          <w:szCs w:val="32"/>
        </w:rPr>
        <w:t>支出</w:t>
      </w:r>
      <w:r>
        <w:rPr>
          <w:rFonts w:hint="eastAsia" w:ascii="仿宋_GB2312" w:hAnsi="仿宋_GB2312" w:cs="仿宋_GB2312"/>
          <w:kern w:val="0"/>
          <w:szCs w:val="28"/>
          <w:lang w:val="en-US" w:eastAsia="zh-CN"/>
        </w:rPr>
        <w:t>6.87</w:t>
      </w:r>
      <w:r>
        <w:rPr>
          <w:rFonts w:hint="eastAsia" w:ascii="仿宋_GB2312"/>
          <w:color w:val="000000"/>
          <w:szCs w:val="32"/>
        </w:rPr>
        <w:t>万元、卫生健康支出</w:t>
      </w:r>
      <w:r>
        <w:rPr>
          <w:rFonts w:hint="eastAsia" w:ascii="仿宋_GB2312" w:hAnsi="仿宋_GB2312" w:cs="仿宋_GB2312"/>
          <w:kern w:val="0"/>
          <w:szCs w:val="28"/>
          <w:lang w:val="en-US" w:eastAsia="zh-CN"/>
        </w:rPr>
        <w:t>2.32</w:t>
      </w:r>
      <w:r>
        <w:rPr>
          <w:rFonts w:hint="eastAsia" w:ascii="仿宋_GB2312"/>
          <w:color w:val="000000"/>
          <w:szCs w:val="32"/>
        </w:rPr>
        <w:t>万元、住房保障支出</w:t>
      </w:r>
      <w:r>
        <w:rPr>
          <w:rFonts w:hint="eastAsia" w:ascii="仿宋_GB2312" w:hAnsi="仿宋_GB2312" w:cs="仿宋_GB2312"/>
          <w:kern w:val="0"/>
          <w:szCs w:val="28"/>
          <w:lang w:val="en-US" w:eastAsia="zh-CN"/>
        </w:rPr>
        <w:t>3.16</w:t>
      </w:r>
      <w:r>
        <w:rPr>
          <w:rFonts w:hint="eastAsia" w:ascii="仿宋_GB2312"/>
          <w:color w:val="000000"/>
          <w:szCs w:val="32"/>
        </w:rPr>
        <w:t>万元。</w:t>
      </w:r>
    </w:p>
    <w:p w14:paraId="27E8B8C0">
      <w:pPr>
        <w:spacing w:line="560" w:lineRule="exact"/>
        <w:ind w:firstLine="640" w:firstLineChars="200"/>
        <w:rPr>
          <w:rFonts w:ascii="仿宋_GB2312"/>
          <w:color w:val="000000"/>
          <w:szCs w:val="32"/>
        </w:rPr>
      </w:pPr>
      <w:r>
        <w:rPr>
          <w:rFonts w:ascii="仿宋_GB2312"/>
          <w:szCs w:val="32"/>
        </w:rPr>
        <w:t>2．预算配置情况分析</w:t>
      </w:r>
      <w:r>
        <w:rPr>
          <w:rFonts w:hint="eastAsia" w:ascii="仿宋_GB2312"/>
          <w:szCs w:val="32"/>
        </w:rPr>
        <w:t>：</w:t>
      </w:r>
      <w:r>
        <w:rPr>
          <w:rFonts w:hint="eastAsia" w:ascii="仿宋_GB2312"/>
          <w:color w:val="000000"/>
          <w:szCs w:val="32"/>
        </w:rPr>
        <w:t>2023年支出预算配置主要为：一般公共预算财政拨款基本支出</w:t>
      </w:r>
      <w:r>
        <w:rPr>
          <w:rFonts w:hint="eastAsia" w:ascii="仿宋_GB2312"/>
          <w:color w:val="000000"/>
          <w:szCs w:val="32"/>
          <w:lang w:val="en-US" w:eastAsia="zh-CN"/>
        </w:rPr>
        <w:t>954.81</w:t>
      </w:r>
      <w:r>
        <w:rPr>
          <w:rFonts w:hint="eastAsia" w:ascii="仿宋_GB2312"/>
          <w:color w:val="000000"/>
          <w:szCs w:val="32"/>
        </w:rPr>
        <w:t>万元</w:t>
      </w:r>
      <w:r>
        <w:rPr>
          <w:rFonts w:hint="eastAsia" w:ascii="仿宋_GB2312"/>
          <w:color w:val="000000"/>
          <w:szCs w:val="32"/>
          <w:lang w:eastAsia="zh-CN"/>
        </w:rPr>
        <w:t>，</w:t>
      </w:r>
      <w:r>
        <w:rPr>
          <w:rFonts w:hint="eastAsia" w:ascii="仿宋_GB2312"/>
          <w:color w:val="000000"/>
          <w:szCs w:val="32"/>
        </w:rPr>
        <w:t>2023年我单位没有配置项目支出。</w:t>
      </w:r>
    </w:p>
    <w:p w14:paraId="49BE9207">
      <w:pPr>
        <w:adjustRightInd w:val="0"/>
        <w:snapToGrid w:val="0"/>
        <w:spacing w:line="576" w:lineRule="exact"/>
        <w:ind w:firstLine="640" w:firstLineChars="200"/>
        <w:rPr>
          <w:rFonts w:ascii="仿宋_GB2312"/>
          <w:szCs w:val="32"/>
        </w:rPr>
      </w:pPr>
      <w:r>
        <w:rPr>
          <w:rFonts w:ascii="仿宋_GB2312"/>
          <w:szCs w:val="32"/>
        </w:rPr>
        <w:t>（二）</w:t>
      </w:r>
      <w:r>
        <w:rPr>
          <w:rFonts w:hint="eastAsia" w:ascii="仿宋_GB2312"/>
          <w:szCs w:val="32"/>
        </w:rPr>
        <w:t>过程情况分析</w:t>
      </w:r>
    </w:p>
    <w:p w14:paraId="770ECADA">
      <w:pPr>
        <w:adjustRightInd w:val="0"/>
        <w:snapToGrid w:val="0"/>
        <w:spacing w:line="576" w:lineRule="exact"/>
        <w:ind w:firstLine="640" w:firstLineChars="200"/>
        <w:rPr>
          <w:rFonts w:ascii="仿宋_GB2312"/>
          <w:szCs w:val="32"/>
        </w:rPr>
      </w:pPr>
      <w:r>
        <w:rPr>
          <w:rFonts w:ascii="仿宋_GB2312"/>
          <w:szCs w:val="32"/>
        </w:rPr>
        <w:t>1．预算执行情况分析</w:t>
      </w:r>
    </w:p>
    <w:p w14:paraId="3E9EC85E">
      <w:pPr>
        <w:widowControl/>
        <w:spacing w:line="560" w:lineRule="exact"/>
        <w:ind w:firstLine="480"/>
        <w:jc w:val="left"/>
        <w:rPr>
          <w:rFonts w:ascii="仿宋_GB2312" w:hAnsi="Helvetica" w:cs="Helvetica"/>
          <w:color w:val="333333"/>
          <w:kern w:val="0"/>
          <w:szCs w:val="32"/>
        </w:rPr>
      </w:pPr>
      <w:r>
        <w:rPr>
          <w:rFonts w:hint="eastAsia" w:ascii="仿宋_GB2312" w:hAnsi="Helvetica" w:cs="Helvetica"/>
          <w:color w:val="333333"/>
          <w:kern w:val="0"/>
          <w:szCs w:val="32"/>
        </w:rPr>
        <w:t>2023年度支出合计</w:t>
      </w:r>
      <w:r>
        <w:rPr>
          <w:rFonts w:hint="eastAsia" w:ascii="仿宋_GB2312"/>
          <w:color w:val="000000"/>
          <w:szCs w:val="32"/>
          <w:lang w:val="en-US" w:eastAsia="zh-CN"/>
        </w:rPr>
        <w:t>954.81</w:t>
      </w:r>
      <w:r>
        <w:rPr>
          <w:rFonts w:hint="eastAsia" w:ascii="仿宋_GB2312" w:hAnsi="Helvetica" w:cs="Helvetica"/>
          <w:color w:val="333333"/>
          <w:kern w:val="0"/>
          <w:szCs w:val="32"/>
        </w:rPr>
        <w:t>万元，本年度年末财政拨款结转和结余0万元，没有财政统一收回指标额度。</w:t>
      </w:r>
    </w:p>
    <w:p w14:paraId="33F2670D">
      <w:pPr>
        <w:spacing w:line="560" w:lineRule="exact"/>
        <w:ind w:firstLine="640"/>
        <w:rPr>
          <w:rFonts w:ascii="仿宋_GB2312"/>
          <w:szCs w:val="32"/>
        </w:rPr>
      </w:pPr>
      <w:r>
        <w:rPr>
          <w:rFonts w:ascii="仿宋_GB2312"/>
          <w:szCs w:val="32"/>
        </w:rPr>
        <w:t>2．预算管理情况分析</w:t>
      </w:r>
    </w:p>
    <w:p w14:paraId="39EB8099">
      <w:pPr>
        <w:pStyle w:val="3"/>
        <w:spacing w:line="560" w:lineRule="exact"/>
        <w:rPr>
          <w:rFonts w:ascii="仿宋_GB2312" w:hAnsi="仿宋_GB2312"/>
          <w:color w:val="000000" w:themeColor="text1"/>
          <w:szCs w:val="28"/>
          <w14:textFill>
            <w14:solidFill>
              <w14:schemeClr w14:val="tx1"/>
            </w14:solidFill>
          </w14:textFill>
        </w:rPr>
      </w:pPr>
      <w:r>
        <w:rPr>
          <w:rFonts w:hint="eastAsia" w:ascii="仿宋_GB2312" w:hAnsi="仿宋_GB2312"/>
          <w:color w:val="000000" w:themeColor="text1"/>
          <w:szCs w:val="28"/>
          <w14:textFill>
            <w14:solidFill>
              <w14:schemeClr w14:val="tx1"/>
            </w14:solidFill>
          </w14:textFill>
        </w:rPr>
        <w:t>一是一般公共服务支出年初预算数为</w:t>
      </w:r>
      <w:r>
        <w:rPr>
          <w:rFonts w:hint="eastAsia" w:ascii="仿宋_GB2312"/>
          <w:color w:val="000000"/>
          <w:szCs w:val="32"/>
          <w:lang w:val="en-US" w:eastAsia="zh-CN"/>
        </w:rPr>
        <w:t>942.42</w:t>
      </w:r>
      <w:r>
        <w:rPr>
          <w:rFonts w:hint="eastAsia" w:ascii="仿宋_GB2312" w:hAnsi="仿宋_GB2312"/>
          <w:color w:val="000000" w:themeColor="text1"/>
          <w:szCs w:val="28"/>
          <w14:textFill>
            <w14:solidFill>
              <w14:schemeClr w14:val="tx1"/>
            </w14:solidFill>
          </w14:textFill>
        </w:rPr>
        <w:t>万元，预算支出执行数为</w:t>
      </w:r>
      <w:r>
        <w:rPr>
          <w:rFonts w:hint="eastAsia" w:ascii="仿宋_GB2312"/>
          <w:color w:val="000000"/>
          <w:szCs w:val="32"/>
          <w:lang w:val="en-US" w:eastAsia="zh-CN"/>
        </w:rPr>
        <w:t>942.42</w:t>
      </w:r>
      <w:r>
        <w:rPr>
          <w:rFonts w:hint="eastAsia" w:ascii="仿宋_GB2312" w:hAnsi="仿宋_GB2312"/>
          <w:color w:val="000000" w:themeColor="text1"/>
          <w:szCs w:val="28"/>
          <w14:textFill>
            <w14:solidFill>
              <w14:schemeClr w14:val="tx1"/>
            </w14:solidFill>
          </w14:textFill>
        </w:rPr>
        <w:t>元，完成年初预算的100%。</w:t>
      </w:r>
    </w:p>
    <w:p w14:paraId="765DDA70">
      <w:pPr>
        <w:pStyle w:val="3"/>
        <w:spacing w:line="560" w:lineRule="exact"/>
        <w:rPr>
          <w:rFonts w:ascii="仿宋_GB2312" w:hAnsi="仿宋_GB2312"/>
          <w:color w:val="000000" w:themeColor="text1"/>
          <w:szCs w:val="28"/>
          <w14:textFill>
            <w14:solidFill>
              <w14:schemeClr w14:val="tx1"/>
            </w14:solidFill>
          </w14:textFill>
        </w:rPr>
      </w:pPr>
      <w:r>
        <w:rPr>
          <w:rFonts w:hint="eastAsia" w:ascii="仿宋_GB2312" w:hAnsi="仿宋_GB2312"/>
          <w:color w:val="000000" w:themeColor="text1"/>
          <w:szCs w:val="28"/>
          <w14:textFill>
            <w14:solidFill>
              <w14:schemeClr w14:val="tx1"/>
            </w14:solidFill>
          </w14:textFill>
        </w:rPr>
        <w:t>二是社会保障和就业支出年初预算数为</w:t>
      </w:r>
      <w:r>
        <w:rPr>
          <w:rFonts w:hint="eastAsia" w:ascii="仿宋_GB2312" w:hAnsi="仿宋_GB2312"/>
          <w:color w:val="000000" w:themeColor="text1"/>
          <w:szCs w:val="28"/>
          <w:lang w:val="en-US" w:eastAsia="zh-CN"/>
          <w14:textFill>
            <w14:solidFill>
              <w14:schemeClr w14:val="tx1"/>
            </w14:solidFill>
          </w14:textFill>
        </w:rPr>
        <w:t>6.877</w:t>
      </w:r>
      <w:r>
        <w:rPr>
          <w:rFonts w:hint="eastAsia" w:ascii="仿宋_GB2312" w:hAnsi="仿宋_GB2312"/>
          <w:color w:val="000000" w:themeColor="text1"/>
          <w:szCs w:val="28"/>
          <w14:textFill>
            <w14:solidFill>
              <w14:schemeClr w14:val="tx1"/>
            </w14:solidFill>
          </w14:textFill>
        </w:rPr>
        <w:t>万元，支出执行数为</w:t>
      </w:r>
      <w:r>
        <w:rPr>
          <w:rFonts w:hint="eastAsia" w:ascii="仿宋_GB2312" w:hAnsi="仿宋_GB2312"/>
          <w:color w:val="000000" w:themeColor="text1"/>
          <w:szCs w:val="28"/>
          <w:lang w:val="en-US" w:eastAsia="zh-CN"/>
          <w14:textFill>
            <w14:solidFill>
              <w14:schemeClr w14:val="tx1"/>
            </w14:solidFill>
          </w14:textFill>
        </w:rPr>
        <w:t>6.877</w:t>
      </w:r>
      <w:r>
        <w:rPr>
          <w:rFonts w:hint="eastAsia" w:ascii="仿宋_GB2312" w:hAnsi="仿宋_GB2312"/>
          <w:color w:val="000000" w:themeColor="text1"/>
          <w:szCs w:val="28"/>
          <w14:textFill>
            <w14:solidFill>
              <w14:schemeClr w14:val="tx1"/>
            </w14:solidFill>
          </w14:textFill>
        </w:rPr>
        <w:t>万元，完成年初预算的100%。</w:t>
      </w:r>
    </w:p>
    <w:p w14:paraId="04C700FE">
      <w:pPr>
        <w:pStyle w:val="3"/>
        <w:spacing w:line="560" w:lineRule="exact"/>
        <w:rPr>
          <w:rFonts w:ascii="仿宋_GB2312" w:hAnsi="仿宋_GB2312"/>
          <w:color w:val="000000" w:themeColor="text1"/>
          <w:szCs w:val="28"/>
          <w14:textFill>
            <w14:solidFill>
              <w14:schemeClr w14:val="tx1"/>
            </w14:solidFill>
          </w14:textFill>
        </w:rPr>
      </w:pPr>
      <w:r>
        <w:rPr>
          <w:rFonts w:hint="eastAsia" w:ascii="仿宋_GB2312" w:hAnsi="仿宋_GB2312"/>
          <w:color w:val="000000" w:themeColor="text1"/>
          <w:szCs w:val="28"/>
          <w14:textFill>
            <w14:solidFill>
              <w14:schemeClr w14:val="tx1"/>
            </w14:solidFill>
          </w14:textFill>
        </w:rPr>
        <w:t>三是卫生健康支出年初预算数为</w:t>
      </w:r>
      <w:r>
        <w:rPr>
          <w:rFonts w:hint="eastAsia" w:ascii="仿宋_GB2312" w:hAnsi="仿宋_GB2312"/>
          <w:color w:val="000000" w:themeColor="text1"/>
          <w:szCs w:val="28"/>
          <w:lang w:val="en-US" w:eastAsia="zh-CN"/>
          <w14:textFill>
            <w14:solidFill>
              <w14:schemeClr w14:val="tx1"/>
            </w14:solidFill>
          </w14:textFill>
        </w:rPr>
        <w:t>2.34</w:t>
      </w:r>
      <w:r>
        <w:rPr>
          <w:rFonts w:hint="eastAsia" w:ascii="仿宋_GB2312" w:hAnsi="仿宋_GB2312"/>
          <w:color w:val="000000" w:themeColor="text1"/>
          <w:szCs w:val="28"/>
          <w14:textFill>
            <w14:solidFill>
              <w14:schemeClr w14:val="tx1"/>
            </w14:solidFill>
          </w14:textFill>
        </w:rPr>
        <w:t>万元，支出执行数为</w:t>
      </w:r>
      <w:r>
        <w:rPr>
          <w:rFonts w:hint="eastAsia" w:ascii="仿宋_GB2312" w:hAnsi="仿宋_GB2312"/>
          <w:color w:val="000000" w:themeColor="text1"/>
          <w:szCs w:val="28"/>
          <w:lang w:val="en-US" w:eastAsia="zh-CN"/>
          <w14:textFill>
            <w14:solidFill>
              <w14:schemeClr w14:val="tx1"/>
            </w14:solidFill>
          </w14:textFill>
        </w:rPr>
        <w:t>2.34</w:t>
      </w:r>
      <w:r>
        <w:rPr>
          <w:rFonts w:hint="eastAsia" w:ascii="仿宋_GB2312" w:hAnsi="仿宋_GB2312"/>
          <w:color w:val="000000" w:themeColor="text1"/>
          <w:szCs w:val="28"/>
          <w14:textFill>
            <w14:solidFill>
              <w14:schemeClr w14:val="tx1"/>
            </w14:solidFill>
          </w14:textFill>
        </w:rPr>
        <w:t>万元，完成年初预算的100%。</w:t>
      </w:r>
    </w:p>
    <w:p w14:paraId="6E06DD5E">
      <w:pPr>
        <w:pStyle w:val="3"/>
        <w:spacing w:line="560" w:lineRule="exact"/>
        <w:rPr>
          <w:rFonts w:ascii="仿宋_GB2312" w:hAnsi="仿宋_GB2312"/>
          <w:color w:val="000000" w:themeColor="text1"/>
          <w:szCs w:val="28"/>
          <w14:textFill>
            <w14:solidFill>
              <w14:schemeClr w14:val="tx1"/>
            </w14:solidFill>
          </w14:textFill>
        </w:rPr>
      </w:pPr>
      <w:r>
        <w:rPr>
          <w:rFonts w:hint="eastAsia" w:ascii="仿宋_GB2312" w:hAnsi="仿宋_GB2312"/>
          <w:color w:val="000000" w:themeColor="text1"/>
          <w:szCs w:val="28"/>
          <w14:textFill>
            <w14:solidFill>
              <w14:schemeClr w14:val="tx1"/>
            </w14:solidFill>
          </w14:textFill>
        </w:rPr>
        <w:t>四是住房保障支出年初预算数为</w:t>
      </w:r>
      <w:r>
        <w:rPr>
          <w:rFonts w:hint="eastAsia" w:ascii="仿宋_GB2312" w:hAnsi="仿宋_GB2312"/>
          <w:color w:val="000000" w:themeColor="text1"/>
          <w:szCs w:val="28"/>
          <w:lang w:val="en-US" w:eastAsia="zh-CN"/>
          <w14:textFill>
            <w14:solidFill>
              <w14:schemeClr w14:val="tx1"/>
            </w14:solidFill>
          </w14:textFill>
        </w:rPr>
        <w:t>3.16</w:t>
      </w:r>
      <w:r>
        <w:rPr>
          <w:rFonts w:hint="eastAsia" w:ascii="仿宋_GB2312" w:hAnsi="仿宋_GB2312"/>
          <w:color w:val="000000" w:themeColor="text1"/>
          <w:szCs w:val="28"/>
          <w14:textFill>
            <w14:solidFill>
              <w14:schemeClr w14:val="tx1"/>
            </w14:solidFill>
          </w14:textFill>
        </w:rPr>
        <w:t>万元，支出执行数为</w:t>
      </w:r>
      <w:r>
        <w:rPr>
          <w:rFonts w:hint="eastAsia" w:ascii="仿宋_GB2312" w:hAnsi="仿宋_GB2312"/>
          <w:color w:val="000000" w:themeColor="text1"/>
          <w:szCs w:val="28"/>
          <w:lang w:val="en-US" w:eastAsia="zh-CN"/>
          <w14:textFill>
            <w14:solidFill>
              <w14:schemeClr w14:val="tx1"/>
            </w14:solidFill>
          </w14:textFill>
        </w:rPr>
        <w:t>3.16</w:t>
      </w:r>
      <w:r>
        <w:rPr>
          <w:rFonts w:hint="eastAsia" w:ascii="仿宋_GB2312" w:hAnsi="仿宋_GB2312"/>
          <w:color w:val="000000" w:themeColor="text1"/>
          <w:szCs w:val="28"/>
          <w14:textFill>
            <w14:solidFill>
              <w14:schemeClr w14:val="tx1"/>
            </w14:solidFill>
          </w14:textFill>
        </w:rPr>
        <w:t>万元，完成年初预算的100%。</w:t>
      </w:r>
    </w:p>
    <w:p w14:paraId="2F3D6246">
      <w:pPr>
        <w:spacing w:line="560" w:lineRule="exact"/>
        <w:ind w:firstLine="640"/>
        <w:rPr>
          <w:rFonts w:ascii="仿宋_GB2312"/>
          <w:szCs w:val="32"/>
        </w:rPr>
      </w:pPr>
      <w:r>
        <w:rPr>
          <w:rFonts w:hint="eastAsia" w:ascii="仿宋_GB2312"/>
          <w:szCs w:val="32"/>
        </w:rPr>
        <w:t>3</w:t>
      </w:r>
      <w:r>
        <w:rPr>
          <w:rFonts w:ascii="仿宋_GB2312"/>
          <w:szCs w:val="32"/>
        </w:rPr>
        <w:t>．</w:t>
      </w:r>
      <w:r>
        <w:rPr>
          <w:rFonts w:hint="eastAsia" w:ascii="仿宋_GB2312"/>
          <w:szCs w:val="32"/>
        </w:rPr>
        <w:t>资产管理情况分析</w:t>
      </w:r>
    </w:p>
    <w:p w14:paraId="2D6692A2">
      <w:pPr>
        <w:ind w:firstLine="640" w:firstLineChars="200"/>
        <w:rPr>
          <w:rFonts w:ascii="仿宋_GB2312" w:hAnsi="Helvetica" w:cs="Helvetica"/>
          <w:color w:val="333333"/>
          <w:szCs w:val="32"/>
        </w:rPr>
      </w:pPr>
      <w:r>
        <w:rPr>
          <w:rFonts w:hint="eastAsia" w:ascii="仿宋_GB2312" w:hAnsi="宋体" w:eastAsia="仿宋_GB2312" w:cs="宋体"/>
          <w:color w:val="000000"/>
          <w:sz w:val="32"/>
          <w:szCs w:val="32"/>
        </w:rPr>
        <w:t>至2023年12月31日，我</w:t>
      </w:r>
      <w:r>
        <w:rPr>
          <w:rFonts w:hint="eastAsia" w:ascii="仿宋_GB2312" w:hAnsi="宋体" w:eastAsia="仿宋_GB2312" w:cs="宋体"/>
          <w:color w:val="000000"/>
          <w:sz w:val="32"/>
          <w:szCs w:val="32"/>
          <w:lang w:val="en-US" w:eastAsia="zh-CN"/>
        </w:rPr>
        <w:t>单位固定</w:t>
      </w:r>
      <w:r>
        <w:rPr>
          <w:rFonts w:hint="eastAsia" w:ascii="仿宋_GB2312" w:hAnsi="宋体" w:eastAsia="仿宋_GB2312" w:cs="宋体"/>
          <w:color w:val="000000"/>
          <w:sz w:val="32"/>
          <w:szCs w:val="32"/>
        </w:rPr>
        <w:t>资产</w:t>
      </w:r>
      <w:r>
        <w:rPr>
          <w:rFonts w:hint="eastAsia" w:ascii="仿宋_GB2312" w:hAnsi="宋体" w:eastAsia="仿宋_GB2312" w:cs="宋体"/>
          <w:color w:val="000000"/>
          <w:sz w:val="32"/>
          <w:szCs w:val="32"/>
          <w:lang w:val="en-US" w:eastAsia="zh-CN"/>
        </w:rPr>
        <w:t>原值6337541.54</w:t>
      </w:r>
      <w:r>
        <w:rPr>
          <w:rFonts w:hint="eastAsia" w:ascii="仿宋_GB2312" w:hAnsi="宋体" w:eastAsia="仿宋_GB2312" w:cs="宋体"/>
          <w:color w:val="000000"/>
          <w:spacing w:val="-11"/>
          <w:sz w:val="32"/>
          <w:szCs w:val="32"/>
        </w:rPr>
        <w:t>元，其中：</w:t>
      </w:r>
      <w:r>
        <w:rPr>
          <w:rFonts w:hint="eastAsia" w:ascii="仿宋_GB2312" w:hAnsi="宋体" w:eastAsia="仿宋_GB2312" w:cs="宋体"/>
          <w:color w:val="000000"/>
          <w:spacing w:val="-11"/>
          <w:sz w:val="32"/>
          <w:szCs w:val="32"/>
          <w:lang w:val="en-US" w:eastAsia="zh-CN"/>
        </w:rPr>
        <w:t>房屋构筑物原值266672</w:t>
      </w:r>
      <w:r>
        <w:rPr>
          <w:rFonts w:hint="eastAsia" w:ascii="仿宋_GB2312" w:hAnsi="宋体" w:eastAsia="仿宋_GB2312" w:cs="宋体"/>
          <w:color w:val="000000"/>
          <w:spacing w:val="-11"/>
          <w:sz w:val="32"/>
          <w:szCs w:val="32"/>
        </w:rPr>
        <w:t>元；</w:t>
      </w:r>
      <w:r>
        <w:rPr>
          <w:rFonts w:hint="eastAsia" w:ascii="仿宋_GB2312" w:hAnsi="宋体" w:eastAsia="仿宋_GB2312" w:cs="宋体"/>
          <w:color w:val="000000"/>
          <w:spacing w:val="-11"/>
          <w:sz w:val="32"/>
          <w:szCs w:val="32"/>
          <w:lang w:val="en-US" w:eastAsia="zh-CN"/>
        </w:rPr>
        <w:t>设备149批（台），原值5549033.93</w:t>
      </w:r>
      <w:r>
        <w:rPr>
          <w:rFonts w:hint="eastAsia" w:ascii="仿宋_GB2312" w:hAnsi="宋体" w:eastAsia="仿宋_GB2312" w:cs="宋体"/>
          <w:color w:val="000000"/>
          <w:spacing w:val="-11"/>
          <w:sz w:val="32"/>
          <w:szCs w:val="32"/>
        </w:rPr>
        <w:t>元；</w:t>
      </w:r>
      <w:r>
        <w:rPr>
          <w:rFonts w:hint="eastAsia" w:ascii="仿宋_GB2312" w:hAnsi="宋体" w:eastAsia="仿宋_GB2312" w:cs="宋体"/>
          <w:color w:val="000000"/>
          <w:spacing w:val="-11"/>
          <w:sz w:val="32"/>
          <w:szCs w:val="32"/>
          <w:lang w:val="en-US" w:eastAsia="zh-CN"/>
        </w:rPr>
        <w:t>家具和用具441批（件），原值521835.61</w:t>
      </w:r>
      <w:r>
        <w:rPr>
          <w:rFonts w:hint="eastAsia" w:ascii="仿宋_GB2312" w:hAnsi="宋体" w:eastAsia="仿宋_GB2312" w:cs="宋体"/>
          <w:color w:val="000000"/>
          <w:spacing w:val="-11"/>
          <w:sz w:val="32"/>
          <w:szCs w:val="32"/>
        </w:rPr>
        <w:t>元。</w:t>
      </w:r>
    </w:p>
    <w:p w14:paraId="4748C552">
      <w:pPr>
        <w:adjustRightInd w:val="0"/>
        <w:snapToGrid w:val="0"/>
        <w:spacing w:line="576" w:lineRule="exact"/>
        <w:ind w:firstLine="640" w:firstLineChars="200"/>
        <w:rPr>
          <w:rFonts w:ascii="仿宋_GB2312"/>
          <w:szCs w:val="32"/>
        </w:rPr>
      </w:pPr>
      <w:r>
        <w:rPr>
          <w:rFonts w:ascii="仿宋_GB2312"/>
          <w:szCs w:val="32"/>
        </w:rPr>
        <w:t>（三）</w:t>
      </w:r>
      <w:r>
        <w:rPr>
          <w:rFonts w:hint="eastAsia" w:ascii="仿宋_GB2312"/>
          <w:szCs w:val="32"/>
        </w:rPr>
        <w:t>产出</w:t>
      </w:r>
      <w:r>
        <w:rPr>
          <w:rFonts w:ascii="仿宋_GB2312"/>
          <w:szCs w:val="32"/>
        </w:rPr>
        <w:t>情况分析</w:t>
      </w:r>
    </w:p>
    <w:p w14:paraId="4A61AB48">
      <w:pPr>
        <w:pStyle w:val="3"/>
        <w:rPr>
          <w:rFonts w:ascii="仿宋_GB2312"/>
          <w:spacing w:val="-6"/>
          <w:sz w:val="32"/>
          <w:szCs w:val="32"/>
        </w:rPr>
      </w:pPr>
      <w:r>
        <w:rPr>
          <w:rFonts w:hint="eastAsia" w:ascii="仿宋_GB2312"/>
          <w:spacing w:val="-6"/>
          <w:sz w:val="32"/>
          <w:szCs w:val="32"/>
        </w:rPr>
        <w:t>1.数量指标:我办工作经费完成率为100%，全部完成预算目标。</w:t>
      </w:r>
    </w:p>
    <w:p w14:paraId="256286C8">
      <w:pPr>
        <w:pStyle w:val="3"/>
        <w:rPr>
          <w:rFonts w:ascii="仿宋_GB2312"/>
          <w:szCs w:val="32"/>
        </w:rPr>
      </w:pPr>
      <w:r>
        <w:rPr>
          <w:rFonts w:hint="eastAsia" w:ascii="仿宋_GB2312"/>
          <w:szCs w:val="32"/>
        </w:rPr>
        <w:t>2.质量指标</w:t>
      </w:r>
      <w:r>
        <w:rPr>
          <w:rFonts w:hint="eastAsia" w:ascii="宋体" w:hAnsi="宋体" w:eastAsia="宋体" w:cs="宋体"/>
          <w:szCs w:val="32"/>
        </w:rPr>
        <w:t>：</w:t>
      </w:r>
      <w:r>
        <w:rPr>
          <w:rFonts w:hint="eastAsia" w:ascii="仿宋_GB2312"/>
          <w:szCs w:val="32"/>
        </w:rPr>
        <w:t>年初预算全部实现了预期效果，没有超预算和结余的情况，时效上全部达到了预期目标。</w:t>
      </w:r>
    </w:p>
    <w:p w14:paraId="2EA8463D">
      <w:pPr>
        <w:adjustRightInd w:val="0"/>
        <w:snapToGrid w:val="0"/>
        <w:spacing w:line="576" w:lineRule="exact"/>
        <w:ind w:firstLine="640" w:firstLineChars="200"/>
        <w:rPr>
          <w:rFonts w:ascii="仿宋_GB2312"/>
          <w:szCs w:val="32"/>
        </w:rPr>
      </w:pPr>
      <w:r>
        <w:rPr>
          <w:rFonts w:ascii="仿宋_GB2312"/>
          <w:szCs w:val="32"/>
        </w:rPr>
        <w:t>（四）</w:t>
      </w:r>
      <w:r>
        <w:rPr>
          <w:rFonts w:hint="eastAsia" w:ascii="仿宋_GB2312"/>
          <w:szCs w:val="32"/>
        </w:rPr>
        <w:t>效益</w:t>
      </w:r>
      <w:r>
        <w:rPr>
          <w:rFonts w:ascii="仿宋_GB2312"/>
          <w:szCs w:val="32"/>
        </w:rPr>
        <w:t>情况分析</w:t>
      </w:r>
    </w:p>
    <w:p w14:paraId="16588715">
      <w:pPr>
        <w:pStyle w:val="21"/>
        <w:spacing w:line="560" w:lineRule="exact"/>
        <w:ind w:firstLine="640"/>
        <w:rPr>
          <w:rFonts w:ascii="仿宋_GB2312" w:hAnsi="仿宋_GB2312" w:cs="仿宋_GB2312"/>
          <w:color w:val="000000" w:themeColor="text1"/>
          <w:sz w:val="32"/>
          <w:lang w:val="en-US"/>
          <w14:textFill>
            <w14:solidFill>
              <w14:schemeClr w14:val="tx1"/>
            </w14:solidFill>
          </w14:textFill>
        </w:rPr>
      </w:pPr>
      <w:r>
        <w:rPr>
          <w:rFonts w:hint="eastAsia" w:ascii="仿宋_GB2312" w:hAnsi="仿宋_GB2312" w:cs="仿宋_GB2312"/>
          <w:color w:val="000000" w:themeColor="text1"/>
          <w:sz w:val="32"/>
          <w:lang w:val="en-US"/>
          <w14:textFill>
            <w14:solidFill>
              <w14:schemeClr w14:val="tx1"/>
            </w14:solidFill>
          </w14:textFill>
        </w:rPr>
        <w:t>根据临泽县</w:t>
      </w:r>
      <w:r>
        <w:rPr>
          <w:rFonts w:hint="eastAsia" w:ascii="仿宋_GB2312" w:hAnsi="仿宋_GB2312" w:cs="仿宋_GB2312"/>
          <w:color w:val="000000" w:themeColor="text1"/>
          <w:sz w:val="32"/>
          <w:lang w:val="en-US" w:eastAsia="zh-CN"/>
          <w14:textFill>
            <w14:solidFill>
              <w14:schemeClr w14:val="tx1"/>
            </w14:solidFill>
          </w14:textFill>
        </w:rPr>
        <w:t>机关事务中心</w:t>
      </w:r>
      <w:r>
        <w:rPr>
          <w:rFonts w:hint="eastAsia" w:ascii="仿宋_GB2312" w:hAnsi="仿宋_GB2312" w:cs="仿宋_GB2312"/>
          <w:color w:val="000000" w:themeColor="text1"/>
          <w:sz w:val="32"/>
          <w:lang w:val="en-US"/>
          <w14:textFill>
            <w14:solidFill>
              <w14:schemeClr w14:val="tx1"/>
            </w14:solidFill>
          </w14:textFill>
        </w:rPr>
        <w:t>管理相关制度，及办公室领导干部分工管理职责，进行如下梳理：</w:t>
      </w:r>
    </w:p>
    <w:p w14:paraId="29363DB5">
      <w:pPr>
        <w:pStyle w:val="21"/>
        <w:spacing w:line="560" w:lineRule="exact"/>
        <w:ind w:firstLine="640"/>
        <w:rPr>
          <w:rFonts w:ascii="仿宋_GB2312" w:hAnsi="仿宋_GB2312" w:cs="仿宋_GB2312"/>
          <w:color w:val="000000" w:themeColor="text1"/>
          <w:sz w:val="32"/>
          <w:lang w:val="en-US"/>
          <w14:textFill>
            <w14:solidFill>
              <w14:schemeClr w14:val="tx1"/>
            </w14:solidFill>
          </w14:textFill>
        </w:rPr>
      </w:pPr>
      <w:r>
        <w:rPr>
          <w:rFonts w:hint="eastAsia" w:ascii="仿宋_GB2312" w:hAnsi="仿宋_GB2312" w:cs="仿宋_GB2312"/>
          <w:color w:val="000000" w:themeColor="text1"/>
          <w:sz w:val="32"/>
          <w:lang w:val="en-US" w:eastAsia="zh-CN"/>
          <w14:textFill>
            <w14:solidFill>
              <w14:schemeClr w14:val="tx1"/>
            </w14:solidFill>
          </w14:textFill>
        </w:rPr>
        <w:t>1</w:t>
      </w:r>
      <w:r>
        <w:rPr>
          <w:rFonts w:hint="eastAsia" w:ascii="仿宋_GB2312" w:hAnsi="仿宋_GB2312" w:cs="仿宋_GB2312"/>
          <w:color w:val="000000" w:themeColor="text1"/>
          <w:sz w:val="32"/>
          <w:lang w:val="en-US"/>
          <w14:textFill>
            <w14:solidFill>
              <w14:schemeClr w14:val="tx1"/>
            </w14:solidFill>
          </w14:textFill>
        </w:rPr>
        <w:t>、财务管理</w:t>
      </w:r>
    </w:p>
    <w:p w14:paraId="2F55609B">
      <w:pPr>
        <w:pStyle w:val="21"/>
        <w:spacing w:line="560" w:lineRule="exact"/>
        <w:ind w:firstLine="640"/>
        <w:rPr>
          <w:rFonts w:ascii="仿宋_GB2312" w:hAnsi="仿宋_GB2312" w:cs="仿宋_GB2312"/>
          <w:color w:val="000000" w:themeColor="text1"/>
          <w:sz w:val="32"/>
          <w:lang w:val="en-US"/>
          <w14:textFill>
            <w14:solidFill>
              <w14:schemeClr w14:val="tx1"/>
            </w14:solidFill>
          </w14:textFill>
        </w:rPr>
      </w:pPr>
      <w:r>
        <w:rPr>
          <w:rFonts w:hint="eastAsia" w:ascii="仿宋_GB2312" w:hAnsi="仿宋_GB2312" w:cs="仿宋_GB2312"/>
          <w:color w:val="000000" w:themeColor="text1"/>
          <w:sz w:val="32"/>
          <w:lang w:val="en-US"/>
          <w14:textFill>
            <w14:solidFill>
              <w14:schemeClr w14:val="tx1"/>
            </w14:solidFill>
          </w14:textFill>
        </w:rPr>
        <w:t>在财务管理方面，我单位严格按照国家规定的《政府会计制度》执行，并制定办公室《财务管理内控制度》，主要从以下方面进行分析：</w:t>
      </w:r>
    </w:p>
    <w:p w14:paraId="5A30D9F2">
      <w:pPr>
        <w:pStyle w:val="21"/>
        <w:spacing w:line="560" w:lineRule="exact"/>
        <w:ind w:firstLine="640"/>
        <w:rPr>
          <w:rFonts w:ascii="仿宋_GB2312" w:hAnsi="仿宋_GB2312" w:cs="仿宋_GB2312"/>
          <w:color w:val="000000" w:themeColor="text1"/>
          <w:sz w:val="32"/>
          <w:lang w:val="en-US"/>
          <w14:textFill>
            <w14:solidFill>
              <w14:schemeClr w14:val="tx1"/>
            </w14:solidFill>
          </w14:textFill>
        </w:rPr>
      </w:pPr>
      <w:r>
        <w:rPr>
          <w:rFonts w:hint="eastAsia" w:ascii="仿宋_GB2312" w:hAnsi="仿宋_GB2312" w:cs="仿宋_GB2312"/>
          <w:color w:val="000000" w:themeColor="text1"/>
          <w:sz w:val="32"/>
          <w:lang w:val="en-US"/>
          <w14:textFill>
            <w14:solidFill>
              <w14:schemeClr w14:val="tx1"/>
            </w14:solidFill>
          </w14:textFill>
        </w:rPr>
        <w:t>经费管理方面，年初单位财务人员负责做好年度内所需经费预算，呈分管领导和主管领导审核后，按财政要求上报财政审核，并按预算程序和计划执行；各项费用报销，应按财务管理制度执行，做到支有凭，付有据；除发放工资、缴纳社保、医疗、住房公积金等经费，其他大额支出的经费须由单位领导班子成员会议集体研究决定后方可支付；办公室所有经费开支，不论金额大小，均由分管财务领导审签后，财政务人员方可付款；每月终，财务人员向分管领导和主管领导汇报本月资金收支情况，以确保财政预算资金用到实处。</w:t>
      </w:r>
    </w:p>
    <w:p w14:paraId="60C145F3">
      <w:pPr>
        <w:adjustRightInd w:val="0"/>
        <w:snapToGrid w:val="0"/>
        <w:spacing w:line="540" w:lineRule="atLeast"/>
        <w:ind w:firstLine="643" w:firstLineChars="200"/>
        <w:rPr>
          <w:rFonts w:ascii="仿宋_GB2312" w:hAnsi="仿宋_GB2312" w:cs="仿宋_GB2312"/>
          <w:b/>
          <w:szCs w:val="32"/>
        </w:rPr>
      </w:pPr>
      <w:r>
        <w:rPr>
          <w:rFonts w:hint="eastAsia" w:ascii="仿宋_GB2312" w:hAnsi="仿宋_GB2312" w:cs="仿宋_GB2312"/>
          <w:b/>
          <w:szCs w:val="32"/>
        </w:rPr>
        <w:t>四、履职完成情况</w:t>
      </w:r>
    </w:p>
    <w:p w14:paraId="04C9D477">
      <w:pPr>
        <w:pStyle w:val="3"/>
        <w:keepNext w:val="0"/>
        <w:keepLines w:val="0"/>
        <w:pageBreakBefore w:val="0"/>
        <w:widowControl w:val="0"/>
        <w:kinsoku/>
        <w:wordWrap/>
        <w:overflowPunct/>
        <w:topLinePunct w:val="0"/>
        <w:autoSpaceDE/>
        <w:autoSpaceDN/>
        <w:bidi w:val="0"/>
        <w:adjustRightInd/>
        <w:snapToGrid/>
        <w:spacing w:line="600" w:lineRule="exact"/>
        <w:ind w:firstLine="556"/>
        <w:textAlignment w:val="auto"/>
        <w:rPr>
          <w:rFonts w:ascii="仿宋_GB2312"/>
          <w:szCs w:val="32"/>
        </w:rPr>
      </w:pPr>
      <w:r>
        <w:rPr>
          <w:rFonts w:hint="eastAsia" w:ascii="仿宋_GB2312"/>
          <w:szCs w:val="32"/>
        </w:rPr>
        <w:t>一年来</w:t>
      </w:r>
      <w:r>
        <w:rPr>
          <w:rFonts w:hint="eastAsia" w:ascii="仿宋_GB2312" w:hAnsi="仿宋_GB2312"/>
          <w:color w:val="000000" w:themeColor="text1"/>
          <w:szCs w:val="28"/>
          <w14:textFill>
            <w14:solidFill>
              <w14:schemeClr w14:val="tx1"/>
            </w14:solidFill>
          </w14:textFill>
        </w:rPr>
        <w:t>在县委县政府的坚强领导下，</w:t>
      </w:r>
      <w:r>
        <w:rPr>
          <w:rFonts w:hint="eastAsia" w:ascii="仿宋_GB2312" w:hAnsi="仿宋_GB2312"/>
          <w:color w:val="000000" w:themeColor="text1"/>
          <w:szCs w:val="28"/>
          <w:lang w:val="en-US" w:eastAsia="zh-CN"/>
          <w14:textFill>
            <w14:solidFill>
              <w14:schemeClr w14:val="tx1"/>
            </w14:solidFill>
          </w14:textFill>
        </w:rPr>
        <w:t>我中心</w:t>
      </w:r>
      <w:r>
        <w:rPr>
          <w:rFonts w:hint="eastAsia" w:ascii="仿宋_GB2312" w:hAnsi="仿宋_GB2312"/>
          <w:color w:val="000000" w:themeColor="text1"/>
          <w:szCs w:val="28"/>
          <w14:textFill>
            <w14:solidFill>
              <w14:schemeClr w14:val="tx1"/>
            </w14:solidFill>
          </w14:textFill>
        </w:rPr>
        <w:t>紧紧围绕全县发展大局和县政府中心工作，履职尽责，务实求为，各项工作取得了较好成效。一是严格落实意识形态工作，开展主题教育活动，切实加强干部队伍建设；二是参谋辅政有新作为，督查督办有新突破，政务服务有新提升；三是廉政责任压实上肩，廉政教育入心入脑，正风肃纪驰而不息。</w:t>
      </w:r>
    </w:p>
    <w:p w14:paraId="42F9F2C5">
      <w:pPr>
        <w:adjustRightInd w:val="0"/>
        <w:snapToGrid w:val="0"/>
        <w:spacing w:line="540" w:lineRule="atLeast"/>
        <w:ind w:firstLine="643" w:firstLineChars="200"/>
        <w:rPr>
          <w:rFonts w:ascii="仿宋_GB2312" w:hAnsi="仿宋_GB2312" w:cs="仿宋_GB2312"/>
          <w:b/>
          <w:szCs w:val="32"/>
        </w:rPr>
      </w:pPr>
      <w:r>
        <w:rPr>
          <w:rFonts w:hint="eastAsia" w:ascii="仿宋_GB2312" w:hAnsi="仿宋_GB2312" w:cs="仿宋_GB2312"/>
          <w:b/>
          <w:szCs w:val="32"/>
        </w:rPr>
        <w:t>五、存在的问题</w:t>
      </w:r>
    </w:p>
    <w:p w14:paraId="1F233BCB">
      <w:pPr>
        <w:spacing w:line="560" w:lineRule="exact"/>
        <w:ind w:firstLine="560"/>
        <w:rPr>
          <w:rFonts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14:textFill>
            <w14:solidFill>
              <w14:schemeClr w14:val="tx1"/>
            </w14:solidFill>
          </w14:textFill>
        </w:rPr>
        <w:t>通过对单位2023年度部门整体支出绩效评价，部门预算经费的执行，取得了较好的成效，顺利完成了县委县政府交办的各项工作。</w:t>
      </w:r>
      <w:r>
        <w:rPr>
          <w:rFonts w:hint="eastAsia" w:ascii="仿宋_GB2312" w:hAnsi="仿宋_GB2312" w:cs="仿宋_GB2312"/>
          <w:szCs w:val="28"/>
        </w:rPr>
        <w:t>但在预算编制与申报，以及相应的预算与绩效管理方面还存在一些问题与改善的空间，主要表现为：</w:t>
      </w:r>
    </w:p>
    <w:p w14:paraId="21510355">
      <w:pPr>
        <w:spacing w:line="560" w:lineRule="exact"/>
        <w:ind w:firstLine="560"/>
        <w:rPr>
          <w:rFonts w:ascii="仿宋_GB2312" w:hAnsi="仿宋_GB2312" w:cs="仿宋_GB2312"/>
          <w:color w:val="FF0000"/>
          <w:szCs w:val="28"/>
        </w:rPr>
      </w:pPr>
      <w:r>
        <w:rPr>
          <w:rFonts w:hint="eastAsia" w:ascii="仿宋_GB2312" w:hAnsi="仿宋_GB2312" w:cs="仿宋_GB2312"/>
          <w:szCs w:val="28"/>
        </w:rPr>
        <w:t>部门年度工作计划仅对工作内容与时间节点进行计划与股室责任分工，但整体与相关明细的绩效目标不够具体和量化。</w:t>
      </w:r>
    </w:p>
    <w:p w14:paraId="5F9F8698">
      <w:pPr>
        <w:numPr>
          <w:ilvl w:val="0"/>
          <w:numId w:val="1"/>
        </w:numPr>
        <w:adjustRightInd w:val="0"/>
        <w:snapToGrid w:val="0"/>
        <w:spacing w:line="540" w:lineRule="atLeast"/>
        <w:ind w:firstLine="643" w:firstLineChars="200"/>
        <w:rPr>
          <w:rFonts w:ascii="仿宋_GB2312" w:hAnsi="仿宋_GB2312" w:cs="仿宋_GB2312"/>
          <w:b/>
          <w:szCs w:val="32"/>
        </w:rPr>
      </w:pPr>
      <w:r>
        <w:rPr>
          <w:rFonts w:hint="eastAsia" w:ascii="仿宋_GB2312" w:hAnsi="仿宋_GB2312" w:cs="仿宋_GB2312"/>
          <w:b/>
          <w:szCs w:val="32"/>
        </w:rPr>
        <w:t>整改措施或建议</w:t>
      </w:r>
    </w:p>
    <w:p w14:paraId="587D061C">
      <w:pPr>
        <w:spacing w:line="560" w:lineRule="exact"/>
        <w:ind w:firstLine="640" w:firstLineChars="200"/>
        <w:rPr>
          <w:rFonts w:ascii="仿宋_GB2312" w:hAnsi="仿宋_GB2312" w:cs="仿宋_GB2312"/>
          <w:b/>
          <w:szCs w:val="28"/>
        </w:rPr>
      </w:pPr>
      <w:r>
        <w:rPr>
          <w:rFonts w:hint="eastAsia" w:ascii="仿宋_GB2312" w:hAnsi="仿宋_GB2312" w:cs="仿宋_GB2312"/>
          <w:szCs w:val="32"/>
        </w:rPr>
        <w:t>（一）</w:t>
      </w:r>
      <w:r>
        <w:rPr>
          <w:rFonts w:hint="eastAsia" w:ascii="仿宋_GB2312" w:hAnsi="仿宋_GB2312" w:cs="仿宋_GB2312"/>
          <w:b/>
          <w:szCs w:val="28"/>
        </w:rPr>
        <w:t>加强部门预算的细化编制</w:t>
      </w:r>
    </w:p>
    <w:p w14:paraId="084B4E4D">
      <w:pPr>
        <w:pStyle w:val="22"/>
        <w:spacing w:line="560" w:lineRule="exact"/>
        <w:ind w:firstLine="640"/>
        <w:rPr>
          <w:rFonts w:ascii="仿宋_GB2312" w:hAnsi="仿宋_GB2312" w:cs="仿宋_GB2312"/>
          <w:szCs w:val="28"/>
        </w:rPr>
      </w:pPr>
      <w:r>
        <w:rPr>
          <w:rFonts w:hint="eastAsia" w:ascii="仿宋_GB2312" w:hAnsi="仿宋_GB2312" w:cs="仿宋_GB2312"/>
          <w:szCs w:val="28"/>
        </w:rPr>
        <w:t>在对部门预算总额与总体目标进行科学测算的基础上，进一步细化基本支出的明细预算，对人员类、公用类经费支出的预算，进一步明细化。</w:t>
      </w:r>
    </w:p>
    <w:p w14:paraId="301500AE">
      <w:pPr>
        <w:spacing w:line="560" w:lineRule="exact"/>
        <w:ind w:firstLine="643" w:firstLineChars="200"/>
        <w:rPr>
          <w:rFonts w:ascii="仿宋_GB2312" w:hAnsi="仿宋_GB2312" w:cs="仿宋_GB2312"/>
          <w:b/>
          <w:szCs w:val="28"/>
        </w:rPr>
      </w:pPr>
      <w:r>
        <w:rPr>
          <w:rFonts w:hint="eastAsia" w:ascii="仿宋_GB2312" w:hAnsi="仿宋_GB2312" w:cs="仿宋_GB2312"/>
          <w:b/>
          <w:szCs w:val="28"/>
        </w:rPr>
        <w:t>（二）强化预算执行管理力度</w:t>
      </w:r>
    </w:p>
    <w:p w14:paraId="271F5F0D">
      <w:pPr>
        <w:spacing w:line="560" w:lineRule="exact"/>
        <w:ind w:firstLine="640" w:firstLineChars="200"/>
        <w:rPr>
          <w:rFonts w:ascii="仿宋_GB2312" w:hAnsi="仿宋_GB2312" w:cs="仿宋_GB2312"/>
          <w:szCs w:val="28"/>
        </w:rPr>
      </w:pPr>
      <w:r>
        <w:rPr>
          <w:rFonts w:hint="eastAsia" w:ascii="仿宋_GB2312" w:hAnsi="仿宋_GB2312" w:cs="仿宋_GB2312"/>
          <w:szCs w:val="28"/>
        </w:rPr>
        <w:t>在科学编制年度部门预算的基础上，在推进落实工作计划的同时，严格执行相关支出预算，及时保障本年度支出预算的执行率。同时，结转资金确需继续保留的，要及时使用和支付；将不再使用的结转资金及时归还上缴财政国库，以便实现存量资金盘活使用。并在下一年度预算编制中，要充分考虑结转资金的影响。</w:t>
      </w:r>
    </w:p>
    <w:p w14:paraId="43B1DAE6">
      <w:pPr>
        <w:adjustRightInd w:val="0"/>
        <w:snapToGrid w:val="0"/>
        <w:spacing w:line="540" w:lineRule="atLeast"/>
        <w:ind w:firstLine="643" w:firstLineChars="200"/>
        <w:rPr>
          <w:rFonts w:ascii="仿宋_GB2312" w:hAnsi="仿宋_GB2312" w:cs="仿宋_GB2312"/>
          <w:b/>
          <w:szCs w:val="32"/>
        </w:rPr>
      </w:pPr>
    </w:p>
    <w:p w14:paraId="7C14AAE3">
      <w:pPr>
        <w:pStyle w:val="6"/>
        <w:spacing w:line="560" w:lineRule="exact"/>
        <w:ind w:left="419" w:leftChars="131" w:firstLine="5120" w:firstLineChars="1600"/>
        <w:rPr>
          <w:rFonts w:ascii="仿宋_GB2312" w:hAnsi="仿宋_GB2312" w:cs="仿宋_GB2312"/>
          <w:szCs w:val="28"/>
        </w:rPr>
      </w:pPr>
      <w:bookmarkStart w:id="6" w:name="_GoBack"/>
      <w:bookmarkEnd w:id="6"/>
    </w:p>
    <w:p w14:paraId="7D3795BD">
      <w:pPr>
        <w:pStyle w:val="6"/>
        <w:spacing w:line="560" w:lineRule="exact"/>
        <w:ind w:left="419" w:leftChars="131" w:firstLine="4480" w:firstLineChars="1400"/>
        <w:rPr>
          <w:rFonts w:hint="default" w:ascii="仿宋_GB2312" w:hAnsi="仿宋_GB2312" w:eastAsia="仿宋_GB2312" w:cs="仿宋_GB2312"/>
          <w:szCs w:val="28"/>
          <w:lang w:val="en-US" w:eastAsia="zh-CN"/>
        </w:rPr>
      </w:pPr>
      <w:r>
        <w:rPr>
          <w:rFonts w:hint="eastAsia" w:ascii="仿宋_GB2312" w:hAnsi="仿宋_GB2312" w:cs="仿宋_GB2312"/>
          <w:szCs w:val="28"/>
        </w:rPr>
        <w:t>临泽县</w:t>
      </w:r>
      <w:r>
        <w:rPr>
          <w:rFonts w:hint="eastAsia" w:ascii="仿宋_GB2312" w:hAnsi="仿宋_GB2312" w:cs="仿宋_GB2312"/>
          <w:szCs w:val="28"/>
          <w:lang w:val="en-US" w:eastAsia="zh-CN"/>
        </w:rPr>
        <w:t>机关事务中心</w:t>
      </w:r>
    </w:p>
    <w:p w14:paraId="7372F2D8">
      <w:pPr>
        <w:pStyle w:val="6"/>
        <w:spacing w:line="560" w:lineRule="exact"/>
        <w:ind w:left="419" w:leftChars="131" w:firstLine="4480" w:firstLineChars="1400"/>
        <w:rPr>
          <w:snapToGrid w:val="0"/>
        </w:rPr>
      </w:pPr>
      <w:r>
        <w:rPr>
          <w:rFonts w:hint="eastAsia" w:ascii="仿宋_GB2312" w:hAnsi="仿宋_GB2312" w:cs="仿宋_GB2312"/>
          <w:szCs w:val="28"/>
        </w:rPr>
        <w:t xml:space="preserve">   2024年9月</w:t>
      </w:r>
      <w:r>
        <w:rPr>
          <w:rFonts w:hint="eastAsia" w:ascii="仿宋_GB2312" w:hAnsi="仿宋_GB2312" w:cs="仿宋_GB2312"/>
          <w:szCs w:val="28"/>
          <w:lang w:val="en-US" w:eastAsia="zh-CN"/>
        </w:rPr>
        <w:t>13</w:t>
      </w:r>
      <w:r>
        <w:rPr>
          <w:rFonts w:hint="eastAsia" w:ascii="仿宋_GB2312" w:hAnsi="仿宋_GB2312" w:cs="仿宋_GB2312"/>
          <w:szCs w:val="28"/>
        </w:rPr>
        <w:t>日</w:t>
      </w:r>
    </w:p>
    <w:sectPr>
      <w:pgSz w:w="11906" w:h="16838"/>
      <w:pgMar w:top="2154" w:right="1531" w:bottom="1587" w:left="1587" w:header="851" w:footer="1417" w:gutter="0"/>
      <w:pgNumType w:start="4"/>
      <w:cols w:space="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A22357B-BBD2-4FFC-BB32-E8DCB5898560}"/>
  </w:font>
  <w:font w:name="黑体">
    <w:panose1 w:val="02010600030101010101"/>
    <w:charset w:val="86"/>
    <w:family w:val="auto"/>
    <w:pitch w:val="default"/>
    <w:sig w:usb0="800002BF" w:usb1="38CF7CFA" w:usb2="00000016" w:usb3="00000000" w:csb0="00040001" w:csb1="00000000"/>
    <w:embedRegular r:id="rId2" w:fontKey="{78F3AB44-0194-4F6B-B88B-E8D5789946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87133B18-66E4-45FC-B5E9-3D2AB1D81E7C}"/>
  </w:font>
  <w:font w:name="仿宋">
    <w:panose1 w:val="02010609060101010101"/>
    <w:charset w:val="86"/>
    <w:family w:val="modern"/>
    <w:pitch w:val="default"/>
    <w:sig w:usb0="800002BF" w:usb1="38CF7CFA" w:usb2="00000016" w:usb3="00000000" w:csb0="00040001" w:csb1="00000000"/>
    <w:embedRegular r:id="rId4" w:fontKey="{4CC18693-4158-41C2-8420-C5EE4FF9A2B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5" w:fontKey="{03061DEE-83DA-46FD-BAF1-628C435BEF26}"/>
  </w:font>
  <w:font w:name="楷体_GB2312">
    <w:panose1 w:val="02010609030101010101"/>
    <w:charset w:val="86"/>
    <w:family w:val="modern"/>
    <w:pitch w:val="default"/>
    <w:sig w:usb0="00000001" w:usb1="080E0000" w:usb2="00000000" w:usb3="00000000" w:csb0="00040000" w:csb1="00000000"/>
    <w:embedRegular r:id="rId6" w:fontKey="{1E8AD65B-0806-44CA-9E78-B8BBFB0402A4}"/>
  </w:font>
  <w:font w:name="微软雅黑">
    <w:panose1 w:val="020B0503020204020204"/>
    <w:charset w:val="86"/>
    <w:family w:val="swiss"/>
    <w:pitch w:val="default"/>
    <w:sig w:usb0="80000287" w:usb1="2ACF3C50" w:usb2="00000016" w:usb3="00000000" w:csb0="0004001F" w:csb1="00000000"/>
    <w:embedRegular r:id="rId7" w:fontKey="{8BC8FBF0-FCEA-40DC-8D30-9A40CAFCCEDD}"/>
  </w:font>
  <w:font w:name="Helvetica">
    <w:altName w:val="Arial"/>
    <w:panose1 w:val="020B0604020202020204"/>
    <w:charset w:val="00"/>
    <w:family w:val="swiss"/>
    <w:pitch w:val="default"/>
    <w:sig w:usb0="00000000" w:usb1="00000000" w:usb2="00000000" w:usb3="00000000" w:csb0="00000001" w:csb1="00000000"/>
    <w:embedRegular r:id="rId8" w:fontKey="{D069588F-DB3F-4603-AD26-848477A5BD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4C2A8">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96850"/>
              <wp:effectExtent l="0" t="0" r="0" b="0"/>
              <wp:wrapNone/>
              <wp:docPr id="1" name="文本框1"/>
              <wp:cNvGraphicFramePr/>
              <a:graphic xmlns:a="http://schemas.openxmlformats.org/drawingml/2006/main">
                <a:graphicData uri="http://schemas.microsoft.com/office/word/2010/wordprocessingShape">
                  <wps:wsp>
                    <wps:cNvSpPr txBox="1"/>
                    <wps:spPr>
                      <a:xfrm>
                        <a:off x="0" y="0"/>
                        <a:ext cx="114935" cy="196850"/>
                      </a:xfrm>
                      <a:prstGeom prst="rect">
                        <a:avLst/>
                      </a:prstGeom>
                      <a:noFill/>
                      <a:ln w="9525">
                        <a:noFill/>
                      </a:ln>
                      <a:effectLst/>
                    </wps:spPr>
                    <wps:txbx>
                      <w:txbxContent>
                        <w:p w14:paraId="77553BB9">
                          <w:pPr>
                            <w:snapToGrid w:val="0"/>
                            <w:rPr>
                              <w:sz w:val="18"/>
                            </w:rPr>
                          </w:pPr>
                        </w:p>
                      </w:txbxContent>
                    </wps:txbx>
                    <wps:bodyPr wrap="none" lIns="0" tIns="0" rIns="0" bIns="0">
                      <a:spAutoFit/>
                    </wps:bodyPr>
                  </wps:wsp>
                </a:graphicData>
              </a:graphic>
            </wp:anchor>
          </w:drawing>
        </mc:Choice>
        <mc:Fallback>
          <w:pict>
            <v:shape id="文本框1" o:spid="_x0000_s1026" o:spt="202" type="#_x0000_t202" style="position:absolute;left:0pt;margin-top:0pt;height:15.5pt;width:9.05pt;mso-position-horizontal:center;mso-position-horizontal-relative:margin;mso-wrap-style:none;z-index:251659264;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1v350AAAAAMBAAAPAAAAAAAAAAEAIAAAACIAAABk&#10;cnMvZG93bnJldi54bWxQSwECFAAUAAAACACHTuJAkV0Q0NUBAAChAwAADgAAAAAAAAABACAAAAAf&#10;AQAAZHJzL2Uyb0RvYy54bWxQSwUGAAAAAAYABgBZAQAAZgUAAAAA&#10;">
              <v:fill on="f" focussize="0,0"/>
              <v:stroke on="f"/>
              <v:imagedata o:title=""/>
              <o:lock v:ext="edit" aspectratio="f"/>
              <v:textbox inset="0mm,0mm,0mm,0mm" style="mso-fit-shape-to-text:t;">
                <w:txbxContent>
                  <w:p w14:paraId="77553BB9">
                    <w:pPr>
                      <w:snapToGrid w:val="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BE28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2AD6B"/>
    <w:multiLevelType w:val="singleLevel"/>
    <w:tmpl w:val="A312AD6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218"/>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MzYyMTRjNTE5OWU0ODQzODA1ZTZiNGRlYjkxNjcifQ=="/>
  </w:docVars>
  <w:rsids>
    <w:rsidRoot w:val="0E891585"/>
    <w:rsid w:val="000302AE"/>
    <w:rsid w:val="000656DE"/>
    <w:rsid w:val="000A6F14"/>
    <w:rsid w:val="000D7754"/>
    <w:rsid w:val="00104DFF"/>
    <w:rsid w:val="001164A2"/>
    <w:rsid w:val="00127541"/>
    <w:rsid w:val="001542F9"/>
    <w:rsid w:val="001575AA"/>
    <w:rsid w:val="00190816"/>
    <w:rsid w:val="001C40ED"/>
    <w:rsid w:val="001F688E"/>
    <w:rsid w:val="002205BB"/>
    <w:rsid w:val="00256076"/>
    <w:rsid w:val="0027449A"/>
    <w:rsid w:val="00284E42"/>
    <w:rsid w:val="002B2B03"/>
    <w:rsid w:val="002B4B28"/>
    <w:rsid w:val="002C2D7A"/>
    <w:rsid w:val="002C6215"/>
    <w:rsid w:val="002C6C84"/>
    <w:rsid w:val="002D19C7"/>
    <w:rsid w:val="002E4F6C"/>
    <w:rsid w:val="00306E67"/>
    <w:rsid w:val="00332F14"/>
    <w:rsid w:val="00372E08"/>
    <w:rsid w:val="003831EF"/>
    <w:rsid w:val="00387354"/>
    <w:rsid w:val="003F4B35"/>
    <w:rsid w:val="003F56DB"/>
    <w:rsid w:val="00414CB2"/>
    <w:rsid w:val="00443A45"/>
    <w:rsid w:val="00454D22"/>
    <w:rsid w:val="0047186A"/>
    <w:rsid w:val="0048041A"/>
    <w:rsid w:val="00485D6B"/>
    <w:rsid w:val="0049228F"/>
    <w:rsid w:val="004A6D74"/>
    <w:rsid w:val="004D6C6B"/>
    <w:rsid w:val="004F280E"/>
    <w:rsid w:val="00502C4E"/>
    <w:rsid w:val="005043C5"/>
    <w:rsid w:val="005233BF"/>
    <w:rsid w:val="005503AA"/>
    <w:rsid w:val="00553380"/>
    <w:rsid w:val="0058339E"/>
    <w:rsid w:val="00584D27"/>
    <w:rsid w:val="005A0B15"/>
    <w:rsid w:val="005C5B17"/>
    <w:rsid w:val="005E03C3"/>
    <w:rsid w:val="00610252"/>
    <w:rsid w:val="00624545"/>
    <w:rsid w:val="00646C59"/>
    <w:rsid w:val="00684D47"/>
    <w:rsid w:val="006B6BB6"/>
    <w:rsid w:val="006C5003"/>
    <w:rsid w:val="006C56F1"/>
    <w:rsid w:val="006C6299"/>
    <w:rsid w:val="006E0A2B"/>
    <w:rsid w:val="006E2C77"/>
    <w:rsid w:val="00700851"/>
    <w:rsid w:val="00744243"/>
    <w:rsid w:val="00792AF7"/>
    <w:rsid w:val="007E4FB2"/>
    <w:rsid w:val="007E7AB2"/>
    <w:rsid w:val="007F4E51"/>
    <w:rsid w:val="00805757"/>
    <w:rsid w:val="00805845"/>
    <w:rsid w:val="00835A88"/>
    <w:rsid w:val="008416C8"/>
    <w:rsid w:val="00845378"/>
    <w:rsid w:val="00897C8B"/>
    <w:rsid w:val="008A386C"/>
    <w:rsid w:val="008A559A"/>
    <w:rsid w:val="008B6278"/>
    <w:rsid w:val="00956171"/>
    <w:rsid w:val="00970F12"/>
    <w:rsid w:val="00973E53"/>
    <w:rsid w:val="00983EFD"/>
    <w:rsid w:val="009C1CDF"/>
    <w:rsid w:val="009F0813"/>
    <w:rsid w:val="00A05C8A"/>
    <w:rsid w:val="00A240A1"/>
    <w:rsid w:val="00A2736F"/>
    <w:rsid w:val="00A35A69"/>
    <w:rsid w:val="00A40F7E"/>
    <w:rsid w:val="00A61286"/>
    <w:rsid w:val="00A725D2"/>
    <w:rsid w:val="00A91063"/>
    <w:rsid w:val="00A959D0"/>
    <w:rsid w:val="00AA4D33"/>
    <w:rsid w:val="00AA5B6E"/>
    <w:rsid w:val="00AC3B4A"/>
    <w:rsid w:val="00AC771D"/>
    <w:rsid w:val="00AD1866"/>
    <w:rsid w:val="00B22986"/>
    <w:rsid w:val="00B40BC9"/>
    <w:rsid w:val="00B715AF"/>
    <w:rsid w:val="00B719A6"/>
    <w:rsid w:val="00B73DB1"/>
    <w:rsid w:val="00B81167"/>
    <w:rsid w:val="00B84C77"/>
    <w:rsid w:val="00B873A5"/>
    <w:rsid w:val="00BA370E"/>
    <w:rsid w:val="00BB12E0"/>
    <w:rsid w:val="00BD0488"/>
    <w:rsid w:val="00BD7451"/>
    <w:rsid w:val="00BE3D56"/>
    <w:rsid w:val="00C1042F"/>
    <w:rsid w:val="00C1375D"/>
    <w:rsid w:val="00C22C59"/>
    <w:rsid w:val="00C5659E"/>
    <w:rsid w:val="00C60A3E"/>
    <w:rsid w:val="00C66D08"/>
    <w:rsid w:val="00C67353"/>
    <w:rsid w:val="00C875DD"/>
    <w:rsid w:val="00C87E7A"/>
    <w:rsid w:val="00CB2E4E"/>
    <w:rsid w:val="00CB3868"/>
    <w:rsid w:val="00CE0147"/>
    <w:rsid w:val="00D14211"/>
    <w:rsid w:val="00D16D99"/>
    <w:rsid w:val="00D33DF2"/>
    <w:rsid w:val="00D74356"/>
    <w:rsid w:val="00D97513"/>
    <w:rsid w:val="00DA4C56"/>
    <w:rsid w:val="00DC3824"/>
    <w:rsid w:val="00E015CE"/>
    <w:rsid w:val="00E04333"/>
    <w:rsid w:val="00E12C41"/>
    <w:rsid w:val="00E17A00"/>
    <w:rsid w:val="00E268BA"/>
    <w:rsid w:val="00E36AD3"/>
    <w:rsid w:val="00E41060"/>
    <w:rsid w:val="00E45BB0"/>
    <w:rsid w:val="00E85A04"/>
    <w:rsid w:val="00E93FDD"/>
    <w:rsid w:val="00E96D4F"/>
    <w:rsid w:val="00E97082"/>
    <w:rsid w:val="00E97ADA"/>
    <w:rsid w:val="00EB75C6"/>
    <w:rsid w:val="00EB796A"/>
    <w:rsid w:val="00EE15F1"/>
    <w:rsid w:val="00F14C68"/>
    <w:rsid w:val="00F3463C"/>
    <w:rsid w:val="00F72F44"/>
    <w:rsid w:val="00F81036"/>
    <w:rsid w:val="00F87800"/>
    <w:rsid w:val="00FB2843"/>
    <w:rsid w:val="00FD3E7E"/>
    <w:rsid w:val="02901060"/>
    <w:rsid w:val="03034879"/>
    <w:rsid w:val="037A17BC"/>
    <w:rsid w:val="03B754B3"/>
    <w:rsid w:val="050C6887"/>
    <w:rsid w:val="05164C02"/>
    <w:rsid w:val="052C10AC"/>
    <w:rsid w:val="059F1735"/>
    <w:rsid w:val="05A8373F"/>
    <w:rsid w:val="07084F30"/>
    <w:rsid w:val="07EF58A1"/>
    <w:rsid w:val="08E82583"/>
    <w:rsid w:val="09745809"/>
    <w:rsid w:val="099D2A89"/>
    <w:rsid w:val="0A6D4F24"/>
    <w:rsid w:val="0C441E40"/>
    <w:rsid w:val="0C620E77"/>
    <w:rsid w:val="0C8F394B"/>
    <w:rsid w:val="0CA23CF8"/>
    <w:rsid w:val="0DBF6005"/>
    <w:rsid w:val="0E0A4CAA"/>
    <w:rsid w:val="0E102331"/>
    <w:rsid w:val="0E891585"/>
    <w:rsid w:val="0F006E14"/>
    <w:rsid w:val="105A5BC0"/>
    <w:rsid w:val="10B206F3"/>
    <w:rsid w:val="11163CC2"/>
    <w:rsid w:val="11A035D2"/>
    <w:rsid w:val="13FA103E"/>
    <w:rsid w:val="1421368B"/>
    <w:rsid w:val="14F84E33"/>
    <w:rsid w:val="15344181"/>
    <w:rsid w:val="181747C7"/>
    <w:rsid w:val="192172B5"/>
    <w:rsid w:val="19AC0DF5"/>
    <w:rsid w:val="1AFE4936"/>
    <w:rsid w:val="1DAC3DE4"/>
    <w:rsid w:val="1E656262"/>
    <w:rsid w:val="1E9551B4"/>
    <w:rsid w:val="1F616DAB"/>
    <w:rsid w:val="1FAB2F6B"/>
    <w:rsid w:val="1FD34689"/>
    <w:rsid w:val="2006644D"/>
    <w:rsid w:val="206B123E"/>
    <w:rsid w:val="20D538D0"/>
    <w:rsid w:val="20FF1CE3"/>
    <w:rsid w:val="215B0A1A"/>
    <w:rsid w:val="21966D7F"/>
    <w:rsid w:val="223203B0"/>
    <w:rsid w:val="22874567"/>
    <w:rsid w:val="24F31ED8"/>
    <w:rsid w:val="25AA29B2"/>
    <w:rsid w:val="26483F30"/>
    <w:rsid w:val="265C1EEB"/>
    <w:rsid w:val="26660934"/>
    <w:rsid w:val="2673108C"/>
    <w:rsid w:val="27722488"/>
    <w:rsid w:val="2A8C7222"/>
    <w:rsid w:val="2A965067"/>
    <w:rsid w:val="2B2A0714"/>
    <w:rsid w:val="2C065DA4"/>
    <w:rsid w:val="2C096F1D"/>
    <w:rsid w:val="2C362D24"/>
    <w:rsid w:val="2C7D3482"/>
    <w:rsid w:val="2CC21EA8"/>
    <w:rsid w:val="2D1A3F92"/>
    <w:rsid w:val="2D725DD0"/>
    <w:rsid w:val="2D8C5BE1"/>
    <w:rsid w:val="2DE4456A"/>
    <w:rsid w:val="2DE514DA"/>
    <w:rsid w:val="2E35300E"/>
    <w:rsid w:val="2F124B01"/>
    <w:rsid w:val="2F243B22"/>
    <w:rsid w:val="307B29B7"/>
    <w:rsid w:val="30A9101A"/>
    <w:rsid w:val="313F6F61"/>
    <w:rsid w:val="324C6402"/>
    <w:rsid w:val="32BE6308"/>
    <w:rsid w:val="32D218A0"/>
    <w:rsid w:val="330E71A0"/>
    <w:rsid w:val="33806D65"/>
    <w:rsid w:val="341A0F4F"/>
    <w:rsid w:val="34D86FD8"/>
    <w:rsid w:val="366900D9"/>
    <w:rsid w:val="36B756E5"/>
    <w:rsid w:val="36CC66A9"/>
    <w:rsid w:val="385F541F"/>
    <w:rsid w:val="39090ACC"/>
    <w:rsid w:val="3A4A475A"/>
    <w:rsid w:val="3A775788"/>
    <w:rsid w:val="3BDF62D0"/>
    <w:rsid w:val="3D6F5574"/>
    <w:rsid w:val="3DB71999"/>
    <w:rsid w:val="3DFE7E20"/>
    <w:rsid w:val="3EDE6683"/>
    <w:rsid w:val="3FB15639"/>
    <w:rsid w:val="3FF95CCA"/>
    <w:rsid w:val="40E70444"/>
    <w:rsid w:val="42325117"/>
    <w:rsid w:val="425F6DF0"/>
    <w:rsid w:val="431C4020"/>
    <w:rsid w:val="45316902"/>
    <w:rsid w:val="46560FFD"/>
    <w:rsid w:val="46A630A7"/>
    <w:rsid w:val="470537CD"/>
    <w:rsid w:val="47385682"/>
    <w:rsid w:val="47CF2E17"/>
    <w:rsid w:val="47DA54D2"/>
    <w:rsid w:val="483161C9"/>
    <w:rsid w:val="48BF5B4C"/>
    <w:rsid w:val="49877B8F"/>
    <w:rsid w:val="4D1A250B"/>
    <w:rsid w:val="4D2B15F6"/>
    <w:rsid w:val="4D441002"/>
    <w:rsid w:val="4D60672E"/>
    <w:rsid w:val="4E424783"/>
    <w:rsid w:val="4EAE71F4"/>
    <w:rsid w:val="4F6A4788"/>
    <w:rsid w:val="50B64F9D"/>
    <w:rsid w:val="50CF30C7"/>
    <w:rsid w:val="51970D16"/>
    <w:rsid w:val="51C831D6"/>
    <w:rsid w:val="51FB53CA"/>
    <w:rsid w:val="527E3C5D"/>
    <w:rsid w:val="52A219E3"/>
    <w:rsid w:val="534C5C9D"/>
    <w:rsid w:val="53E939B1"/>
    <w:rsid w:val="545D7232"/>
    <w:rsid w:val="55120C02"/>
    <w:rsid w:val="55B92675"/>
    <w:rsid w:val="55CA7946"/>
    <w:rsid w:val="573319C2"/>
    <w:rsid w:val="573F66F7"/>
    <w:rsid w:val="57767448"/>
    <w:rsid w:val="58614B5E"/>
    <w:rsid w:val="586B0DAE"/>
    <w:rsid w:val="58DB507A"/>
    <w:rsid w:val="59744CA8"/>
    <w:rsid w:val="5C434333"/>
    <w:rsid w:val="5C617EA2"/>
    <w:rsid w:val="5CBE3182"/>
    <w:rsid w:val="5D655292"/>
    <w:rsid w:val="5E1060ED"/>
    <w:rsid w:val="5E2B7A29"/>
    <w:rsid w:val="5E5273CC"/>
    <w:rsid w:val="60711C34"/>
    <w:rsid w:val="607F783A"/>
    <w:rsid w:val="60846CF1"/>
    <w:rsid w:val="613C039B"/>
    <w:rsid w:val="630302A6"/>
    <w:rsid w:val="637E428B"/>
    <w:rsid w:val="64E677CE"/>
    <w:rsid w:val="64FF1454"/>
    <w:rsid w:val="66F46C93"/>
    <w:rsid w:val="670021E9"/>
    <w:rsid w:val="677F5B67"/>
    <w:rsid w:val="67A142C9"/>
    <w:rsid w:val="68B33A79"/>
    <w:rsid w:val="69E96192"/>
    <w:rsid w:val="6AAA26C2"/>
    <w:rsid w:val="6BAE1707"/>
    <w:rsid w:val="6BDF63C2"/>
    <w:rsid w:val="6CD33AEF"/>
    <w:rsid w:val="6E112F9E"/>
    <w:rsid w:val="6E1B78B0"/>
    <w:rsid w:val="6E57590B"/>
    <w:rsid w:val="6E6B353C"/>
    <w:rsid w:val="6E984B28"/>
    <w:rsid w:val="6EE771D7"/>
    <w:rsid w:val="6F49468F"/>
    <w:rsid w:val="70051CAA"/>
    <w:rsid w:val="700B69D4"/>
    <w:rsid w:val="705C6487"/>
    <w:rsid w:val="72A71511"/>
    <w:rsid w:val="72FC6E43"/>
    <w:rsid w:val="73A56B29"/>
    <w:rsid w:val="74B9514E"/>
    <w:rsid w:val="74F22E08"/>
    <w:rsid w:val="75797088"/>
    <w:rsid w:val="75C35088"/>
    <w:rsid w:val="76466FF6"/>
    <w:rsid w:val="76CA1658"/>
    <w:rsid w:val="7747487C"/>
    <w:rsid w:val="77E23029"/>
    <w:rsid w:val="780853DB"/>
    <w:rsid w:val="78647052"/>
    <w:rsid w:val="79BB7C6D"/>
    <w:rsid w:val="7A485754"/>
    <w:rsid w:val="7A646DD9"/>
    <w:rsid w:val="7BD062B5"/>
    <w:rsid w:val="7C1A1A27"/>
    <w:rsid w:val="7D6D005F"/>
    <w:rsid w:val="7DA90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eastAsia="仿宋_GB2312" w:asciiTheme="minorHAnsi" w:hAnsiTheme="minorHAnsi" w:cstheme="minorBidi"/>
      <w:kern w:val="2"/>
      <w:sz w:val="32"/>
      <w:szCs w:val="22"/>
      <w:lang w:val="en-US" w:eastAsia="zh-CN" w:bidi="ar-SA"/>
    </w:rPr>
  </w:style>
  <w:style w:type="paragraph" w:styleId="2">
    <w:name w:val="heading 3"/>
    <w:basedOn w:val="1"/>
    <w:next w:val="1"/>
    <w:link w:val="24"/>
    <w:autoRedefine/>
    <w:unhideWhenUsed/>
    <w:qFormat/>
    <w:uiPriority w:val="0"/>
    <w:pPr>
      <w:spacing w:line="560" w:lineRule="exact"/>
      <w:ind w:firstLine="200" w:firstLineChars="200"/>
      <w:outlineLvl w:val="2"/>
    </w:pPr>
    <w:rPr>
      <w:rFonts w:ascii="Times New Roman" w:hAnsi="Times New Roman" w:eastAsia="仿宋" w:cs="Times New Roman"/>
      <w:kern w:val="0"/>
      <w:szCs w:val="20"/>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556"/>
    </w:pPr>
    <w:rPr>
      <w:rFonts w:cs="仿宋_GB2312"/>
      <w:kern w:val="0"/>
    </w:rPr>
  </w:style>
  <w:style w:type="paragraph" w:styleId="4">
    <w:name w:val="Body Text"/>
    <w:basedOn w:val="1"/>
    <w:autoRedefine/>
    <w:qFormat/>
    <w:uiPriority w:val="99"/>
    <w:pPr>
      <w:spacing w:after="120" w:line="600" w:lineRule="exact"/>
      <w:jc w:val="left"/>
    </w:pPr>
  </w:style>
  <w:style w:type="paragraph" w:styleId="5">
    <w:name w:val="Body Text Indent"/>
    <w:basedOn w:val="1"/>
    <w:autoRedefine/>
    <w:qFormat/>
    <w:uiPriority w:val="0"/>
    <w:pPr>
      <w:adjustRightInd w:val="0"/>
      <w:snapToGrid w:val="0"/>
      <w:spacing w:line="540" w:lineRule="atLeast"/>
      <w:ind w:firstLine="640" w:firstLineChars="200"/>
    </w:pPr>
    <w:rPr>
      <w:rFonts w:ascii="仿宋_GB2312" w:hAnsi="仿宋_GB2312" w:cs="仿宋_GB2312"/>
      <w:kern w:val="0"/>
      <w:szCs w:val="32"/>
    </w:rPr>
  </w:style>
  <w:style w:type="paragraph" w:styleId="6">
    <w:name w:val="Body Text Indent 2"/>
    <w:basedOn w:val="1"/>
    <w:next w:val="4"/>
    <w:autoRedefine/>
    <w:unhideWhenUsed/>
    <w:qFormat/>
    <w:uiPriority w:val="99"/>
    <w:pPr>
      <w:spacing w:after="120" w:line="480" w:lineRule="auto"/>
      <w:ind w:left="420" w:leftChars="200"/>
    </w:pPr>
  </w:style>
  <w:style w:type="paragraph" w:styleId="7">
    <w:name w:val="Balloon Text"/>
    <w:basedOn w:val="1"/>
    <w:link w:val="23"/>
    <w:uiPriority w:val="0"/>
    <w:pPr>
      <w:spacing w:line="240" w:lineRule="auto"/>
    </w:pPr>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sz w:val="18"/>
    </w:rPr>
  </w:style>
  <w:style w:type="paragraph" w:styleId="10">
    <w:name w:val="Normal (Web)"/>
    <w:basedOn w:val="1"/>
    <w:autoRedefine/>
    <w:qFormat/>
    <w:uiPriority w:val="0"/>
    <w:pPr>
      <w:jc w:val="left"/>
    </w:pPr>
    <w:rPr>
      <w:rFonts w:cs="Times New Roman"/>
      <w:kern w:val="0"/>
      <w:sz w:val="24"/>
    </w:rPr>
  </w:style>
  <w:style w:type="paragraph" w:styleId="11">
    <w:name w:val="Title"/>
    <w:basedOn w:val="1"/>
    <w:next w:val="1"/>
    <w:autoRedefine/>
    <w:qFormat/>
    <w:uiPriority w:val="0"/>
    <w:pPr>
      <w:spacing w:before="240" w:after="60"/>
      <w:jc w:val="center"/>
      <w:outlineLvl w:val="0"/>
    </w:pPr>
    <w:rPr>
      <w:rFonts w:ascii="Cambria" w:hAnsi="Cambria" w:eastAsia="宋体"/>
      <w:b/>
      <w:bCs/>
      <w:kern w:val="0"/>
      <w:szCs w:val="32"/>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autoRedefine/>
    <w:qFormat/>
    <w:uiPriority w:val="0"/>
    <w:rPr>
      <w:color w:val="444444"/>
      <w:u w:val="none"/>
    </w:rPr>
  </w:style>
  <w:style w:type="character" w:styleId="16">
    <w:name w:val="Emphasis"/>
    <w:basedOn w:val="14"/>
    <w:autoRedefine/>
    <w:qFormat/>
    <w:uiPriority w:val="0"/>
  </w:style>
  <w:style w:type="character" w:styleId="17">
    <w:name w:val="Hyperlink"/>
    <w:basedOn w:val="14"/>
    <w:autoRedefine/>
    <w:qFormat/>
    <w:uiPriority w:val="0"/>
    <w:rPr>
      <w:color w:val="444444"/>
      <w:u w:val="none"/>
    </w:rPr>
  </w:style>
  <w:style w:type="character" w:styleId="18">
    <w:name w:val="HTML Cite"/>
    <w:basedOn w:val="14"/>
    <w:qFormat/>
    <w:uiPriority w:val="0"/>
    <w:rPr>
      <w:i/>
    </w:rPr>
  </w:style>
  <w:style w:type="paragraph" w:customStyle="1" w:styleId="19">
    <w:name w:val="办公自动化专用标题"/>
    <w:basedOn w:val="11"/>
    <w:autoRedefine/>
    <w:qFormat/>
    <w:uiPriority w:val="0"/>
    <w:pPr>
      <w:spacing w:line="560" w:lineRule="atLeast"/>
    </w:pPr>
    <w:rPr>
      <w:rFonts w:ascii="宋体" w:hAnsi="Arial" w:cs="Times New Roman"/>
      <w:bCs w:val="0"/>
      <w:sz w:val="44"/>
      <w:szCs w:val="20"/>
    </w:rPr>
  </w:style>
  <w:style w:type="character" w:customStyle="1" w:styleId="20">
    <w:name w:val="hover11"/>
    <w:basedOn w:val="14"/>
    <w:qFormat/>
    <w:uiPriority w:val="0"/>
  </w:style>
  <w:style w:type="paragraph" w:customStyle="1" w:styleId="21">
    <w:name w:val="闻政正文"/>
    <w:basedOn w:val="1"/>
    <w:qFormat/>
    <w:uiPriority w:val="0"/>
    <w:pPr>
      <w:spacing w:line="500" w:lineRule="exact"/>
      <w:ind w:firstLine="560" w:firstLineChars="200"/>
    </w:pPr>
    <w:rPr>
      <w:rFonts w:ascii="Times New Roman" w:hAnsi="Times New Roman" w:cs="Times New Roman"/>
      <w:kern w:val="0"/>
      <w:sz w:val="28"/>
      <w:szCs w:val="28"/>
      <w:lang w:val="zh-CN"/>
    </w:rPr>
  </w:style>
  <w:style w:type="paragraph" w:styleId="22">
    <w:name w:val="List Paragraph"/>
    <w:basedOn w:val="1"/>
    <w:unhideWhenUsed/>
    <w:uiPriority w:val="99"/>
    <w:pPr>
      <w:ind w:firstLine="420" w:firstLineChars="200"/>
    </w:pPr>
  </w:style>
  <w:style w:type="character" w:customStyle="1" w:styleId="23">
    <w:name w:val="批注框文本 Char"/>
    <w:basedOn w:val="14"/>
    <w:link w:val="7"/>
    <w:uiPriority w:val="0"/>
    <w:rPr>
      <w:rFonts w:eastAsia="仿宋_GB2312" w:asciiTheme="minorHAnsi" w:hAnsiTheme="minorHAnsi" w:cstheme="minorBidi"/>
      <w:kern w:val="2"/>
      <w:sz w:val="18"/>
      <w:szCs w:val="18"/>
    </w:rPr>
  </w:style>
  <w:style w:type="character" w:customStyle="1" w:styleId="24">
    <w:name w:val="标题 3 Char"/>
    <w:basedOn w:val="14"/>
    <w:link w:val="2"/>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3706</Words>
  <Characters>4281</Characters>
  <Lines>35</Lines>
  <Paragraphs>9</Paragraphs>
  <TotalTime>2</TotalTime>
  <ScaleCrop>false</ScaleCrop>
  <LinksUpToDate>false</LinksUpToDate>
  <CharactersWithSpaces>4289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2018-03-06T07:59:00Z</dcterms:created>
  <dc:creator>liulu</dc:creator>
  <cp:lastModifiedBy>莉莉玛莲</cp:lastModifiedBy>
  <cp:lastPrinted>2024-01-08T06:36:00Z</cp:lastPrinted>
  <dcterms:modified xsi:type="dcterms:W3CDTF">2024-09-24T02:16:18Z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0FE70FFF028444629F784AC24A64B8A5_13</vt:lpwstr>
  </property>
</Properties>
</file>