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D0347">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p>
    <w:p w14:paraId="1E962026">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p>
    <w:p w14:paraId="5F839053">
      <w:pPr>
        <w:widowControl/>
        <w:spacing w:before="120" w:after="120" w:line="480" w:lineRule="auto"/>
        <w:ind w:firstLine="0" w:firstLineChars="0"/>
        <w:jc w:val="center"/>
        <w:rPr>
          <w:rFonts w:hint="eastAsia" w:ascii="宋体" w:hAnsi="宋体" w:eastAsia="宋体" w:cs="宋体"/>
          <w:b/>
          <w:bCs/>
          <w:kern w:val="0"/>
          <w:sz w:val="36"/>
          <w:szCs w:val="36"/>
          <w:lang w:bidi="en-US"/>
        </w:rPr>
      </w:pPr>
      <w:r>
        <w:rPr>
          <w:rFonts w:hint="eastAsia" w:ascii="宋体" w:hAnsi="宋体" w:eastAsia="宋体" w:cs="宋体"/>
          <w:b/>
          <w:bCs/>
          <w:sz w:val="36"/>
          <w:szCs w:val="36"/>
          <w:lang w:val="en-US" w:eastAsia="zh-CN"/>
        </w:rPr>
        <w:t>2023</w:t>
      </w:r>
      <w:bookmarkStart w:id="0" w:name="_GoBack"/>
      <w:bookmarkEnd w:id="0"/>
      <w:r>
        <w:rPr>
          <w:rFonts w:hint="eastAsia" w:ascii="宋体" w:hAnsi="宋体" w:eastAsia="宋体" w:cs="宋体"/>
          <w:b/>
          <w:bCs/>
          <w:sz w:val="36"/>
          <w:szCs w:val="36"/>
          <w:lang w:val="en-US" w:eastAsia="zh-CN"/>
        </w:rPr>
        <w:t>年科技馆免费开放补助资金</w:t>
      </w:r>
      <w:r>
        <w:rPr>
          <w:rFonts w:hint="eastAsia" w:ascii="宋体" w:hAnsi="宋体" w:eastAsia="宋体" w:cs="宋体"/>
          <w:b/>
          <w:bCs/>
          <w:sz w:val="36"/>
          <w:szCs w:val="36"/>
        </w:rPr>
        <w:t>绩效评价报告</w:t>
      </w:r>
    </w:p>
    <w:p w14:paraId="2060DD05">
      <w:pPr>
        <w:widowControl/>
        <w:spacing w:before="120" w:after="120" w:line="480" w:lineRule="auto"/>
        <w:ind w:firstLine="0" w:firstLineChars="0"/>
        <w:jc w:val="center"/>
        <w:rPr>
          <w:rFonts w:hint="eastAsia" w:ascii="宋体" w:hAnsi="宋体" w:eastAsia="宋体" w:cs="宋体"/>
          <w:b/>
          <w:kern w:val="0"/>
          <w:sz w:val="36"/>
          <w:szCs w:val="36"/>
          <w:lang w:bidi="en-US"/>
        </w:rPr>
      </w:pPr>
    </w:p>
    <w:p w14:paraId="7E664CB6">
      <w:pPr>
        <w:widowControl/>
        <w:spacing w:before="120" w:after="120" w:line="360" w:lineRule="auto"/>
        <w:ind w:firstLine="0" w:firstLineChars="0"/>
        <w:jc w:val="both"/>
        <w:rPr>
          <w:rFonts w:hint="eastAsia" w:ascii="宋体" w:hAnsi="宋体" w:eastAsia="宋体" w:cs="宋体"/>
          <w:b/>
          <w:kern w:val="0"/>
          <w:sz w:val="36"/>
          <w:szCs w:val="36"/>
          <w:lang w:bidi="en-US"/>
        </w:rPr>
      </w:pPr>
    </w:p>
    <w:p w14:paraId="4C4F1703">
      <w:pPr>
        <w:widowControl/>
        <w:spacing w:before="120" w:after="120" w:line="360" w:lineRule="auto"/>
        <w:ind w:firstLine="0" w:firstLineChars="0"/>
        <w:jc w:val="center"/>
        <w:rPr>
          <w:rFonts w:hint="eastAsia" w:ascii="宋体" w:hAnsi="宋体" w:eastAsia="宋体" w:cs="宋体"/>
          <w:b/>
          <w:kern w:val="0"/>
          <w:sz w:val="36"/>
          <w:szCs w:val="36"/>
          <w:lang w:bidi="en-US"/>
        </w:rPr>
      </w:pPr>
    </w:p>
    <w:p w14:paraId="7CD95CC8">
      <w:pPr>
        <w:widowControl/>
        <w:spacing w:before="120" w:line="240" w:lineRule="auto"/>
        <w:ind w:firstLine="0" w:firstLineChars="0"/>
        <w:jc w:val="left"/>
        <w:rPr>
          <w:rFonts w:hint="eastAsia" w:ascii="宋体" w:hAnsi="宋体" w:eastAsia="宋体" w:cs="宋体"/>
          <w:b/>
          <w:bCs/>
          <w:kern w:val="0"/>
          <w:sz w:val="36"/>
          <w:szCs w:val="36"/>
          <w:lang w:eastAsia="zh-CN" w:bidi="en-US"/>
        </w:rPr>
      </w:pPr>
    </w:p>
    <w:p w14:paraId="626AE805">
      <w:pPr>
        <w:widowControl/>
        <w:spacing w:before="120" w:line="240" w:lineRule="auto"/>
        <w:ind w:firstLine="1084" w:firstLineChars="300"/>
        <w:jc w:val="left"/>
        <w:rPr>
          <w:rFonts w:hint="eastAsia" w:ascii="宋体" w:hAnsi="宋体" w:eastAsia="宋体" w:cs="宋体"/>
          <w:b/>
          <w:bCs/>
          <w:kern w:val="0"/>
          <w:sz w:val="36"/>
          <w:szCs w:val="36"/>
          <w:lang w:val="en-US" w:eastAsia="zh-CN" w:bidi="en-US"/>
        </w:rPr>
      </w:pPr>
      <w:r>
        <w:rPr>
          <w:rFonts w:hint="eastAsia" w:ascii="宋体" w:hAnsi="宋体" w:eastAsia="宋体" w:cs="宋体"/>
          <w:b/>
          <w:bCs/>
          <w:kern w:val="0"/>
          <w:sz w:val="36"/>
          <w:szCs w:val="36"/>
          <w:lang w:eastAsia="zh-CN" w:bidi="en-US"/>
        </w:rPr>
        <w:t>部门（</w:t>
      </w:r>
      <w:r>
        <w:rPr>
          <w:rFonts w:hint="eastAsia" w:ascii="宋体" w:hAnsi="宋体" w:eastAsia="宋体" w:cs="宋体"/>
          <w:b/>
          <w:bCs/>
          <w:kern w:val="0"/>
          <w:sz w:val="36"/>
          <w:szCs w:val="36"/>
          <w:lang w:bidi="en-US"/>
        </w:rPr>
        <w:t>单位</w:t>
      </w:r>
      <w:r>
        <w:rPr>
          <w:rFonts w:hint="eastAsia" w:ascii="宋体" w:hAnsi="宋体" w:eastAsia="宋体" w:cs="宋体"/>
          <w:b/>
          <w:bCs/>
          <w:kern w:val="0"/>
          <w:sz w:val="36"/>
          <w:szCs w:val="36"/>
          <w:lang w:eastAsia="zh-CN" w:bidi="en-US"/>
        </w:rPr>
        <w:t>）</w:t>
      </w:r>
      <w:r>
        <w:rPr>
          <w:rFonts w:hint="eastAsia" w:ascii="宋体" w:hAnsi="宋体" w:eastAsia="宋体" w:cs="宋体"/>
          <w:b/>
          <w:bCs/>
          <w:kern w:val="0"/>
          <w:sz w:val="36"/>
          <w:szCs w:val="36"/>
          <w:lang w:bidi="en-US"/>
        </w:rPr>
        <w:t>：</w:t>
      </w:r>
      <w:r>
        <w:rPr>
          <w:rFonts w:hint="eastAsia" w:ascii="宋体" w:hAnsi="宋体" w:eastAsia="宋体" w:cs="宋体"/>
          <w:b/>
          <w:bCs/>
          <w:kern w:val="0"/>
          <w:sz w:val="36"/>
          <w:szCs w:val="36"/>
          <w:lang w:eastAsia="zh-CN" w:bidi="en-US"/>
        </w:rPr>
        <w:t>临泽县科学技术协会</w:t>
      </w:r>
    </w:p>
    <w:p w14:paraId="104CDCEC">
      <w:pPr>
        <w:widowControl/>
        <w:spacing w:before="120" w:line="240" w:lineRule="auto"/>
        <w:ind w:firstLine="4337" w:firstLineChars="1200"/>
        <w:jc w:val="left"/>
        <w:rPr>
          <w:rFonts w:hint="eastAsia" w:ascii="宋体" w:hAnsi="宋体" w:eastAsia="宋体" w:cs="宋体"/>
          <w:b/>
          <w:bCs/>
          <w:sz w:val="36"/>
          <w:szCs w:val="36"/>
        </w:rPr>
      </w:pPr>
    </w:p>
    <w:p w14:paraId="630790C9">
      <w:pPr>
        <w:widowControl/>
        <w:spacing w:before="120" w:line="240" w:lineRule="auto"/>
        <w:ind w:firstLine="4337" w:firstLineChars="1200"/>
        <w:jc w:val="left"/>
        <w:rPr>
          <w:rFonts w:hint="eastAsia" w:ascii="宋体" w:hAnsi="宋体" w:eastAsia="宋体" w:cs="宋体"/>
          <w:b/>
          <w:bCs/>
          <w:sz w:val="36"/>
          <w:szCs w:val="36"/>
        </w:rPr>
      </w:pPr>
    </w:p>
    <w:p w14:paraId="6F96001B">
      <w:pPr>
        <w:widowControl/>
        <w:spacing w:before="120" w:line="240" w:lineRule="auto"/>
        <w:ind w:firstLine="4337" w:firstLineChars="1200"/>
        <w:jc w:val="left"/>
        <w:rPr>
          <w:rFonts w:hint="eastAsia" w:ascii="宋体" w:hAnsi="宋体" w:eastAsia="宋体" w:cs="宋体"/>
          <w:b/>
          <w:bCs/>
          <w:sz w:val="36"/>
          <w:szCs w:val="36"/>
        </w:rP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24</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月</w:t>
      </w:r>
    </w:p>
    <w:p w14:paraId="5FE4DDFD">
      <w:pPr>
        <w:pStyle w:val="42"/>
        <w:adjustRightInd w:val="0"/>
        <w:snapToGrid w:val="0"/>
        <w:spacing w:before="0" w:after="0"/>
        <w:jc w:val="center"/>
        <w:outlineLvl w:val="9"/>
        <w:rPr>
          <w:rFonts w:hint="eastAsia" w:ascii="宋体" w:hAnsi="宋体" w:eastAsia="宋体" w:cs="宋体"/>
          <w:sz w:val="36"/>
          <w:szCs w:val="36"/>
          <w:lang w:eastAsia="zh-CN"/>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p>
    <w:p w14:paraId="6217D76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w w:val="90"/>
          <w:sz w:val="44"/>
          <w:szCs w:val="44"/>
          <w:lang w:eastAsia="zh-CN"/>
        </w:rPr>
      </w:pPr>
      <w:r>
        <w:rPr>
          <w:rFonts w:hint="eastAsia" w:ascii="方正小标宋简体" w:eastAsia="方正小标宋简体"/>
          <w:w w:val="90"/>
          <w:sz w:val="44"/>
          <w:szCs w:val="44"/>
          <w:lang w:eastAsia="zh-CN"/>
        </w:rPr>
        <w:t>临泽县科学技术协会</w:t>
      </w:r>
    </w:p>
    <w:p w14:paraId="5548E97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宋体" w:eastAsia="仿宋_GB2312" w:cs="宋体"/>
          <w:kern w:val="0"/>
          <w:sz w:val="32"/>
          <w:szCs w:val="32"/>
          <w:lang w:val="en-US" w:eastAsia="zh-CN"/>
        </w:rPr>
      </w:pPr>
      <w:r>
        <w:rPr>
          <w:rFonts w:hint="eastAsia" w:ascii="方正小标宋简体" w:eastAsia="方正小标宋简体"/>
          <w:w w:val="90"/>
          <w:sz w:val="44"/>
          <w:szCs w:val="44"/>
          <w:lang w:val="en-US" w:eastAsia="zh-CN"/>
        </w:rPr>
        <w:t>2023</w:t>
      </w:r>
      <w:r>
        <w:rPr>
          <w:rFonts w:ascii="方正小标宋简体" w:eastAsia="方正小标宋简体"/>
          <w:w w:val="90"/>
          <w:sz w:val="44"/>
          <w:szCs w:val="44"/>
        </w:rPr>
        <w:t>年</w:t>
      </w:r>
      <w:r>
        <w:rPr>
          <w:rFonts w:hint="eastAsia" w:ascii="方正小标宋简体" w:eastAsia="方正小标宋简体"/>
          <w:w w:val="90"/>
          <w:sz w:val="44"/>
          <w:szCs w:val="44"/>
          <w:lang w:eastAsia="zh-CN"/>
        </w:rPr>
        <w:t>上级专项</w:t>
      </w:r>
      <w:r>
        <w:rPr>
          <w:rFonts w:ascii="方正小标宋简体" w:eastAsia="方正小标宋简体"/>
          <w:w w:val="90"/>
          <w:sz w:val="44"/>
          <w:szCs w:val="44"/>
        </w:rPr>
        <w:t>财政项目绩效自评</w:t>
      </w:r>
      <w:r>
        <w:rPr>
          <w:rFonts w:hint="eastAsia" w:ascii="方正小标宋简体" w:eastAsia="方正小标宋简体"/>
          <w:w w:val="90"/>
          <w:sz w:val="44"/>
          <w:szCs w:val="44"/>
          <w:lang w:eastAsia="zh-CN"/>
        </w:rPr>
        <w:t>报告</w:t>
      </w:r>
    </w:p>
    <w:p w14:paraId="72F9C38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_GB2312" w:hAnsi="宋体" w:eastAsia="仿宋_GB2312" w:cs="宋体"/>
          <w:kern w:val="0"/>
          <w:sz w:val="32"/>
          <w:szCs w:val="32"/>
          <w:lang w:val="en-US" w:eastAsia="zh-CN"/>
        </w:rPr>
      </w:pPr>
    </w:p>
    <w:p w14:paraId="6DEF4FEA">
      <w:pPr>
        <w:widowControl/>
        <w:spacing w:line="600" w:lineRule="exact"/>
        <w:jc w:val="center"/>
        <w:rPr>
          <w:rFonts w:hint="eastAsia"/>
        </w:rPr>
      </w:pPr>
      <w:r>
        <w:rPr>
          <w:rFonts w:hint="eastAsia" w:ascii="仿宋_GB2312" w:hAnsi="宋体" w:eastAsia="仿宋_GB2312" w:cs="宋体"/>
          <w:kern w:val="0"/>
          <w:sz w:val="32"/>
          <w:szCs w:val="32"/>
          <w:lang w:val="en-US" w:eastAsia="zh-CN"/>
        </w:rPr>
        <w:t>（2023年科技馆免费开放补助资金项目）</w:t>
      </w:r>
    </w:p>
    <w:p w14:paraId="2E97709F">
      <w:pPr>
        <w:keepNext w:val="0"/>
        <w:keepLines w:val="0"/>
        <w:pageBreakBefore w:val="0"/>
        <w:widowControl w:val="0"/>
        <w:kinsoku/>
        <w:wordWrap/>
        <w:overflowPunct/>
        <w:topLinePunct w:val="0"/>
        <w:autoSpaceDE/>
        <w:autoSpaceDN/>
        <w:bidi w:val="0"/>
        <w:adjustRightInd/>
        <w:snapToGrid/>
        <w:spacing w:line="260" w:lineRule="exact"/>
        <w:ind w:firstLine="640" w:firstLineChars="200"/>
        <w:jc w:val="left"/>
        <w:textAlignment w:val="auto"/>
        <w:rPr>
          <w:rFonts w:hint="eastAsia" w:ascii="黑体" w:hAnsi="黑体" w:eastAsia="黑体" w:cs="黑体"/>
          <w:bCs/>
          <w:sz w:val="32"/>
          <w:szCs w:val="32"/>
        </w:rPr>
      </w:pPr>
    </w:p>
    <w:p w14:paraId="1F44070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rPr>
      </w:pPr>
      <w:r>
        <w:rPr>
          <w:rFonts w:hint="eastAsia" w:ascii="黑体" w:hAnsi="黑体" w:eastAsia="黑体" w:cs="黑体"/>
          <w:bCs/>
          <w:sz w:val="32"/>
          <w:szCs w:val="32"/>
        </w:rPr>
        <w:t>一、</w:t>
      </w:r>
      <w:r>
        <w:rPr>
          <w:rFonts w:ascii="黑体" w:hAnsi="黑体" w:eastAsia="黑体" w:cs="黑体"/>
          <w:bCs/>
          <w:sz w:val="32"/>
          <w:szCs w:val="32"/>
        </w:rPr>
        <w:t>自评工作开展情况</w:t>
      </w:r>
    </w:p>
    <w:p w14:paraId="2293FEF8">
      <w:pPr>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b/>
          <w:bCs/>
          <w:sz w:val="32"/>
          <w:szCs w:val="32"/>
          <w:lang w:val="en-US" w:eastAsia="zh-CN"/>
        </w:rPr>
      </w:pP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ascii="仿宋_GB2312" w:eastAsia="仿宋_GB2312"/>
          <w:b/>
          <w:bCs/>
          <w:sz w:val="32"/>
          <w:szCs w:val="32"/>
        </w:rPr>
        <w:t>(一)自评工作的组织管理情况</w:t>
      </w:r>
      <w:r>
        <w:rPr>
          <w:rFonts w:hint="eastAsia" w:ascii="仿宋_GB2312" w:eastAsia="仿宋_GB2312"/>
          <w:b/>
          <w:bCs/>
          <w:sz w:val="32"/>
          <w:szCs w:val="32"/>
          <w:lang w:val="en-US" w:eastAsia="zh-CN"/>
        </w:rPr>
        <w:t>:</w:t>
      </w:r>
    </w:p>
    <w:p w14:paraId="16C55F0C">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为确保项目支出绩效管理工作有序开展，根据《</w:t>
      </w:r>
      <w:r>
        <w:rPr>
          <w:rFonts w:hint="eastAsia" w:ascii="仿宋_GB2312" w:hAnsi="宋体" w:eastAsia="仿宋_GB2312" w:cs="宋体"/>
          <w:kern w:val="0"/>
          <w:sz w:val="32"/>
          <w:szCs w:val="32"/>
        </w:rPr>
        <w:t>临泽县财政局关于</w:t>
      </w:r>
      <w:r>
        <w:rPr>
          <w:rFonts w:hint="eastAsia" w:ascii="仿宋_GB2312" w:hAnsi="宋体" w:eastAsia="仿宋_GB2312" w:cs="宋体"/>
          <w:kern w:val="0"/>
          <w:sz w:val="32"/>
          <w:szCs w:val="32"/>
          <w:lang w:eastAsia="zh-CN"/>
        </w:rPr>
        <w:t>做好</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预算绩效管理工作考核的通知</w:t>
      </w:r>
      <w:r>
        <w:rPr>
          <w:rFonts w:hint="eastAsia" w:ascii="仿宋_GB2312" w:eastAsia="仿宋_GB2312"/>
          <w:sz w:val="32"/>
          <w:szCs w:val="32"/>
          <w:lang w:val="en-US" w:eastAsia="zh-CN"/>
        </w:rPr>
        <w:t>》（</w:t>
      </w:r>
      <w:r>
        <w:rPr>
          <w:rFonts w:hint="eastAsia" w:ascii="仿宋_GB2312" w:hAnsi="宋体" w:eastAsia="仿宋_GB2312" w:cs="宋体"/>
          <w:kern w:val="0"/>
          <w:sz w:val="32"/>
          <w:szCs w:val="32"/>
        </w:rPr>
        <w:t>临财预</w:t>
      </w:r>
      <w:r>
        <w:rPr>
          <w:rFonts w:hint="eastAsia" w:ascii="仿宋_GB2312" w:hAnsi="宋体" w:eastAsia="仿宋_GB2312" w:cs="宋体"/>
          <w:kern w:val="0"/>
          <w:sz w:val="32"/>
          <w:szCs w:val="32"/>
          <w:lang w:eastAsia="zh-CN"/>
        </w:rPr>
        <w:t>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296</w:t>
      </w:r>
      <w:r>
        <w:rPr>
          <w:rFonts w:hint="eastAsia" w:ascii="仿宋_GB2312" w:hAnsi="宋体" w:eastAsia="仿宋_GB2312" w:cs="宋体"/>
          <w:kern w:val="0"/>
          <w:sz w:val="32"/>
          <w:szCs w:val="32"/>
        </w:rPr>
        <w:t>号</w:t>
      </w:r>
      <w:r>
        <w:rPr>
          <w:rFonts w:hint="eastAsia" w:ascii="仿宋_GB2312" w:eastAsia="仿宋_GB2312"/>
          <w:sz w:val="32"/>
          <w:szCs w:val="32"/>
          <w:lang w:val="en-US" w:eastAsia="zh-CN"/>
        </w:rPr>
        <w:t>及相关文件要求，县科协就全面开展绩效自评工作进行了细化明确，明确所有项目须对照设定的绩效目标、预算执行及政策、项目实施效果等情况开展绩效自评。</w:t>
      </w:r>
    </w:p>
    <w:p w14:paraId="1C237E5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县科协对各项目实施单位提交的绩效自评报告以及绩效自评表数据的真实性、合法性、完整性以及绩效自评结果的审核把关，通过审核发现问题——反馈——再审核——再反馈方式，经过多次审核、反馈、沟通达到共同提高认识和理解，确保了绩效自评全面覆盖、数据准确、评价合理、结果客观，高质量提前完成项目绩效自评。</w:t>
      </w:r>
    </w:p>
    <w:p w14:paraId="5C15603B">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（二）绩效自评金额、个数、覆盖率等：</w:t>
      </w:r>
    </w:p>
    <w:p w14:paraId="6827F12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2023年，甘肃省财政厅下达临泽县科技馆</w:t>
      </w:r>
      <w:r>
        <w:rPr>
          <w:rFonts w:hint="eastAsia" w:ascii="仿宋_GB2312" w:hAnsi="宋体" w:eastAsia="仿宋_GB2312" w:cs="宋体"/>
          <w:kern w:val="0"/>
          <w:sz w:val="32"/>
          <w:szCs w:val="32"/>
          <w:lang w:val="en-US" w:eastAsia="zh-CN"/>
        </w:rPr>
        <w:t>免费开放补助资金155.42万元</w:t>
      </w:r>
      <w:r>
        <w:rPr>
          <w:rFonts w:hint="eastAsia" w:ascii="仿宋_GB2312" w:eastAsia="仿宋_GB2312"/>
          <w:sz w:val="32"/>
          <w:szCs w:val="32"/>
          <w:lang w:val="en-US" w:eastAsia="zh-CN"/>
        </w:rPr>
        <w:t>。</w:t>
      </w:r>
    </w:p>
    <w:p w14:paraId="467731BC">
      <w:pPr>
        <w:keepNext w:val="0"/>
        <w:keepLines w:val="0"/>
        <w:pageBreakBefore w:val="0"/>
        <w:kinsoku/>
        <w:wordWrap/>
        <w:overflowPunct/>
        <w:topLinePunct w:val="0"/>
        <w:autoSpaceDE/>
        <w:autoSpaceDN/>
        <w:bidi w:val="0"/>
        <w:spacing w:line="560" w:lineRule="exact"/>
        <w:ind w:firstLine="640"/>
        <w:textAlignment w:val="auto"/>
        <w:rPr>
          <w:rFonts w:ascii="仿宋_GB2312" w:hAnsi="黑体" w:eastAsia="仿宋_GB2312" w:cs="黑体"/>
          <w:sz w:val="32"/>
          <w:szCs w:val="32"/>
        </w:rPr>
      </w:pPr>
      <w:r>
        <w:rPr>
          <w:rFonts w:hint="eastAsia" w:ascii="黑体" w:hAnsi="黑体" w:eastAsia="黑体" w:cs="黑体"/>
          <w:sz w:val="32"/>
          <w:szCs w:val="32"/>
        </w:rPr>
        <w:t>坚持展览教育并重，努力提升科普展教活动效果</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发挥自身优势，坚持展览和教育并重，不断丰富科普展教活动的形式，创新活动载体，努力提升活动效果，逐步提升科学传播效能。</w:t>
      </w:r>
      <w:r>
        <w:rPr>
          <w:rFonts w:hint="eastAsia" w:ascii="仿宋_GB2312" w:eastAsia="仿宋_GB2312"/>
          <w:b/>
          <w:sz w:val="32"/>
          <w:szCs w:val="32"/>
        </w:rPr>
        <w:t>一是努力打造青少年第二课堂。</w:t>
      </w:r>
      <w:r>
        <w:rPr>
          <w:rFonts w:hint="eastAsia" w:ascii="仿宋_GB2312" w:hAnsi="仿宋_GB2312" w:eastAsia="仿宋_GB2312" w:cs="仿宋_GB2312"/>
          <w:sz w:val="32"/>
          <w:szCs w:val="32"/>
        </w:rPr>
        <w:t>为丰富假期科普活动内容，根据广大青少年学生、社会公众对科普的需求，不断丰富科普教育的载体和形式，着力打造特色科普品牌活动，充分利用“声光体验”“科普影院”“科创沙龙”“消防地震”“航空航天”等主题展区，精心组织开展了“彩虹课堂”，创新打造“红色”党史学习教育课堂。</w:t>
      </w:r>
      <w:r>
        <w:rPr>
          <w:rFonts w:hint="eastAsia" w:ascii="仿宋_GB2312" w:hAnsi="仿宋_GB2312" w:eastAsia="仿宋_GB2312" w:cs="仿宋_GB2312"/>
          <w:sz w:val="32"/>
          <w:szCs w:val="32"/>
          <w:lang w:eastAsia="zh-CN"/>
        </w:rPr>
        <w:t>常态化</w:t>
      </w:r>
      <w:r>
        <w:rPr>
          <w:rFonts w:ascii="仿宋_GB2312" w:hAnsi="仿宋_GB2312" w:eastAsia="仿宋_GB2312" w:cs="仿宋_GB2312"/>
          <w:sz w:val="32"/>
          <w:szCs w:val="32"/>
        </w:rPr>
        <w:t>开展党史宣传教育，普及党史知识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推动党史学习教育深入群众、深入基层、深入人心</w:t>
      </w:r>
      <w:r>
        <w:rPr>
          <w:rFonts w:hint="eastAsia" w:ascii="仿宋_GB2312" w:hAnsi="仿宋_GB2312" w:eastAsia="仿宋_GB2312" w:cs="仿宋_GB2312"/>
          <w:sz w:val="32"/>
          <w:szCs w:val="32"/>
        </w:rPr>
        <w:t>，每周六下午在科普影院免费播放红色</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电影，目前已播放红色影片12部，观影人数6000余人次。“橙色”感恩教育课堂。在学校德育教育中，感恩教育是一个起点。感恩，是我们民族的优良传统。科技馆将科学普及和学校德育教育结合起来，每月邀请学校一名德育教师在馆内开展一次感恩教育课堂，在普及科学的同时，也陶冶了学生的情操。“黄色”安全教育课堂。科技馆充分发挥张掖市应急科普教育基地作用，每月在消防科普教育展厅和防震减灾展区开展一次安全教育活动，至目前已开展活动22次，参加人数3000余人，特别是五月份防灾减灾日和六月份安全生产月期间，周边县区学校组织学生在科技馆进行安全教育打卡。“绿色”心理趣味课堂。联合县关工委邀请退休教师何建英老师每月为入馆群众开展一次心理健康培训课，至目前开课6场次，受益群众1000余人。“青色”书法绘画课堂。在重大节日节气组织开展书法绘画比赛。“蓝色”创新探索课堂。邀请临泽县二中、滨河小学编程课老师每周六下午免费开设创意编程课堂，目前有学生30名，开展课程17节。每周日下午开设一次科学实验课程，目前已开设18节课。“紫色”艺术素养课堂。鼓励青少年善于表现，在儿童区设置舞台为表演才艺的青少年搭建平台。科技馆不仅普及科学知识，而且注重传播科学思想、科学方法和科学精神，让观众通过亲身参与，加深对科学与技术的理解和感悟，激发对科学的兴趣和好奇心，在潜移默化中提高公民科学素质。科技馆“彩虹课堂”得到了社会各级的一致好评，五月份团省委组织全省各市州团委书记80余人在我馆进行“彩虹课堂”观摩指导。6月份省关工委组织市州关工委主任专门对我馆未成年人科普教育和校外第二课堂进行调研。</w:t>
      </w:r>
      <w:r>
        <w:rPr>
          <w:rFonts w:hint="eastAsia" w:ascii="仿宋_GB2312" w:hAnsi="宋体" w:eastAsia="仿宋_GB2312"/>
          <w:b/>
          <w:sz w:val="32"/>
          <w:szCs w:val="32"/>
        </w:rPr>
        <w:t>二是组织开展馆外展教活动。</w:t>
      </w:r>
      <w:r>
        <w:rPr>
          <w:rFonts w:hint="eastAsia" w:ascii="仿宋_GB2312" w:hAnsi="宋体" w:eastAsia="仿宋_GB2312"/>
          <w:sz w:val="32"/>
          <w:szCs w:val="32"/>
        </w:rPr>
        <w:t>以科技下乡、流动科技馆、科普大篷车为载体，进一步丰富科普宣传的内容和形式，深化科普大篷车的活动效果，逐渐形成了以科普知识宣讲、发放科普宣传资料、机器人、VR体验、趣味科普秀表演等为主要内容的馆外展教活动，分批组织工作人员深入村镇、社区、学校、军营等区域。目前，共计开展各类馆外展教活动42场次，参与干部、群众及学生共计</w:t>
      </w:r>
      <w:r>
        <w:rPr>
          <w:rFonts w:ascii="仿宋_GB2312" w:hAnsi="宋体" w:eastAsia="仿宋_GB2312"/>
          <w:sz w:val="32"/>
          <w:szCs w:val="32"/>
        </w:rPr>
        <w:t>4000</w:t>
      </w:r>
      <w:r>
        <w:rPr>
          <w:rFonts w:hint="eastAsia" w:ascii="仿宋_GB2312" w:hAnsi="宋体" w:eastAsia="仿宋_GB2312"/>
          <w:sz w:val="32"/>
          <w:szCs w:val="32"/>
        </w:rPr>
        <w:t>人。</w:t>
      </w:r>
      <w:r>
        <w:rPr>
          <w:rFonts w:hint="eastAsia" w:ascii="仿宋_GB2312" w:hAnsi="宋体" w:eastAsia="仿宋_GB2312"/>
          <w:b/>
          <w:sz w:val="32"/>
          <w:szCs w:val="32"/>
        </w:rPr>
        <w:t>三是精心组织科普讲座及培训。</w:t>
      </w:r>
      <w:r>
        <w:rPr>
          <w:rFonts w:hint="eastAsia" w:ascii="仿宋_GB2312" w:hAnsi="宋体" w:eastAsia="仿宋_GB2312"/>
          <w:sz w:val="32"/>
          <w:szCs w:val="32"/>
        </w:rPr>
        <w:t>根据不同受众的科普需求，结合“彩虹课堂”邀请部分科普志愿者参与科普讲座与宣传培训，通过招募部分卫生、教育、农业等行业的退休专家，分别组织专题宣讲和讲座，共举办航空航天知识讲座1场次、常见病虫害防治2期，邀请兰州逻思智造老师为全县18所学校信息技术老师开展创意编程培训1场次。</w:t>
      </w:r>
      <w:r>
        <w:rPr>
          <w:rFonts w:hint="eastAsia" w:ascii="仿宋_GB2312" w:hAnsi="宋体" w:eastAsia="仿宋_GB2312"/>
          <w:b/>
          <w:sz w:val="32"/>
          <w:szCs w:val="32"/>
        </w:rPr>
        <w:t>四是</w:t>
      </w:r>
      <w:r>
        <w:rPr>
          <w:rFonts w:hint="eastAsia" w:ascii="仿宋_GB2312" w:eastAsia="仿宋_GB2312"/>
          <w:b/>
          <w:sz w:val="32"/>
          <w:szCs w:val="32"/>
        </w:rPr>
        <w:t>大力开展“线上科技馆”和短期展览活动。</w:t>
      </w:r>
      <w:r>
        <w:rPr>
          <w:rFonts w:hint="eastAsia" w:ascii="仿宋_GB2312" w:eastAsia="仿宋_GB2312"/>
          <w:sz w:val="32"/>
          <w:szCs w:val="32"/>
        </w:rPr>
        <w:t>结合“三抓三促”行动，</w:t>
      </w:r>
      <w:r>
        <w:rPr>
          <w:rFonts w:hint="eastAsia" w:ascii="仿宋_GB2312" w:hAnsi="黑体" w:eastAsia="仿宋_GB2312" w:cs="黑体"/>
          <w:sz w:val="32"/>
          <w:szCs w:val="32"/>
        </w:rPr>
        <w:t>组织展教人员深入研究展品，学习视频拍摄，剪辑等，通过科普临泽“科学蒲公英”栏目推送科学家精神33期，游中国地理知识32期，科学实验35期。满足了群众线上科普知识学习的需求。积极做好短期展览活动。今年中国流动科技馆在我馆巡3个月，张掖团市委、临泽团县委依托科技馆人流大的优势全市中小学生《自然观察笔记》在科技馆临时展厅展出6个月，张掖市第十六届青少年创新大赛《科幻画》一等奖作品在临时展厅展出3个月。几次短期展览我县中小学近8000余人参观，激发了青少年热爱科学，学习科学的热情。</w:t>
      </w:r>
      <w:r>
        <w:rPr>
          <w:rFonts w:hint="eastAsia" w:ascii="仿宋_GB2312" w:eastAsia="仿宋_GB2312"/>
          <w:b/>
          <w:sz w:val="32"/>
          <w:szCs w:val="32"/>
        </w:rPr>
        <w:t>五是积极开展馆际交流活动。</w:t>
      </w:r>
      <w:r>
        <w:rPr>
          <w:rFonts w:hint="eastAsia" w:ascii="仿宋_GB2312" w:eastAsia="仿宋_GB2312"/>
          <w:sz w:val="32"/>
          <w:szCs w:val="32"/>
        </w:rPr>
        <w:t>今年来自山丹县科技馆、肃南科技馆和甘肃科技馆展教人员来我馆开展馆际交流活动，其中甘肃科技馆联合我馆开展了“携手科学 走进校园” 活动，为我县青少年学生带来了最先进的科学实验包。</w:t>
      </w:r>
      <w:r>
        <w:rPr>
          <w:rFonts w:hint="eastAsia" w:ascii="仿宋_GB2312" w:hAnsi="黑体" w:eastAsia="仿宋_GB2312" w:cs="黑体"/>
          <w:sz w:val="32"/>
          <w:szCs w:val="32"/>
        </w:rPr>
        <w:t>为学习借鉴兄弟场馆先进经验做法，加强业务交流，拓展工作思路，提高管理水平，实现优势互补，6月份，我馆展教人员先后到山丹县、金昌市、武威市三地科技馆参观交流学习，并参加座谈会，交流学习各馆的先进工作经验和科普工作思路。通过多地的面对面交流学习，既增强各场馆的沟通和联系，又相互汲取工作经验，取长补短，将一些好经验、好方法进行分享，对推动科普展教业务工作起到积极作用，达到共同提高的目的。</w:t>
      </w:r>
      <w:r>
        <w:rPr>
          <w:rFonts w:hint="eastAsia" w:ascii="仿宋_GB2312" w:eastAsia="仿宋_GB2312"/>
          <w:b/>
          <w:sz w:val="32"/>
          <w:szCs w:val="32"/>
        </w:rPr>
        <w:t>六是探索馆校结合新模式。</w:t>
      </w:r>
      <w:r>
        <w:rPr>
          <w:rFonts w:hint="eastAsia" w:ascii="仿宋_GB2312" w:eastAsia="仿宋_GB2312"/>
          <w:sz w:val="32"/>
          <w:szCs w:val="32"/>
        </w:rPr>
        <w:t>积极发挥科普教育主阵地作用，加强馆校合作。今年联合学校主要打造 “蓝色创新探索”课堂。邀请学校科技辅导员在科技馆每周末开设创意编程课和科学实验课一节，增加了学生创新探索的热情，同时，积极联系学校，组织学生参加第九届全国青少年科普创新实验暨作品大赛、37届甘肃省青少年科技创新大赛、第四届甘肃省青少年创意编程与智能设计大赛。临泽县共组织200余人参加大赛，是张掖市区参赛人数最多的县区。目前，临泽职教中心、临泽四中、临泽二中、滨河小学与我馆联合开展创意编程和科技制作课程为2024年各类科普竞赛做好准备。</w:t>
      </w:r>
    </w:p>
    <w:p w14:paraId="191AFCBD">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微软雅黑" w:eastAsia="仿宋_GB2312"/>
          <w:sz w:val="32"/>
          <w:szCs w:val="32"/>
          <w:shd w:val="clear" w:color="auto" w:fill="FFFFFF"/>
        </w:rPr>
      </w:pPr>
      <w:r>
        <w:rPr>
          <w:rFonts w:hint="eastAsia" w:ascii="黑体" w:hAnsi="黑体" w:eastAsia="黑体" w:cs="黑体"/>
          <w:sz w:val="32"/>
          <w:szCs w:val="32"/>
        </w:rPr>
        <w:t>强化基础设施建设，不断丰富展品展项内容</w:t>
      </w:r>
      <w:r>
        <w:rPr>
          <w:rFonts w:hint="eastAsia" w:ascii="黑体" w:hAnsi="黑体" w:eastAsia="黑体" w:cs="黑体"/>
          <w:sz w:val="32"/>
          <w:szCs w:val="32"/>
          <w:lang w:eastAsia="zh-CN"/>
        </w:rPr>
        <w:t>。</w:t>
      </w:r>
      <w:r>
        <w:rPr>
          <w:rFonts w:hint="eastAsia" w:ascii="仿宋_GB2312" w:hAnsi="微软雅黑" w:eastAsia="仿宋_GB2312"/>
          <w:sz w:val="32"/>
          <w:szCs w:val="32"/>
          <w:shd w:val="clear" w:color="auto" w:fill="FFFFFF"/>
        </w:rPr>
        <w:t>在场馆总服务台设有接待咨询并提供预约和免费讲解服务，设有免费存包柜、寄存处、直饮水、无线网、充电宝、残疾人专用轮椅等各项便民设施，整个场馆通道畅通、环境整洁，无障碍设施齐全，电梯运行正常，免费WiFi全覆盖。每层展厅分设休息区和卫生间，并设有无障碍卫生间，安排专职保洁人员负责清扫消毒，能够完全满足游客的休息和如厕需求。在总服务台醒目位置设置作风建设意见征</w:t>
      </w:r>
      <w:r>
        <w:rPr>
          <w:rFonts w:hint="eastAsia" w:ascii="仿宋_GB2312" w:hAnsi="仿宋_GB2312" w:eastAsia="仿宋_GB2312" w:cs="仿宋_GB2312"/>
          <w:sz w:val="32"/>
          <w:szCs w:val="32"/>
        </w:rPr>
        <w:t>集箱，充分了解和掌握游客的各类诉求，及时提醒和纠正干部职工的不当言行，努力提高服务质量和服务水平。上半年完成</w:t>
      </w:r>
      <w:r>
        <w:rPr>
          <w:rFonts w:hint="eastAsia" w:ascii="仿宋_GB2312" w:hAnsi="宋体" w:eastAsia="仿宋_GB2312" w:cs="Arial"/>
          <w:color w:val="000000"/>
          <w:sz w:val="32"/>
          <w:szCs w:val="32"/>
          <w:shd w:val="clear" w:color="auto" w:fill="FFFFFF"/>
        </w:rPr>
        <w:t>大国重器展区更新，从中科技馆新购置1-4年级科学实验包120个,进一步满足了观众多样化的科技文化需求，提升了科普工作的能力和效果。</w:t>
      </w:r>
    </w:p>
    <w:p w14:paraId="391A9503">
      <w:pPr>
        <w:keepNext w:val="0"/>
        <w:keepLines w:val="0"/>
        <w:pageBreakBefore w:val="0"/>
        <w:kinsoku/>
        <w:wordWrap/>
        <w:overflowPunct/>
        <w:topLinePunct w:val="0"/>
        <w:autoSpaceDE/>
        <w:autoSpaceDN/>
        <w:bidi w:val="0"/>
        <w:spacing w:line="560" w:lineRule="exact"/>
        <w:ind w:firstLine="640"/>
        <w:textAlignment w:val="auto"/>
        <w:rPr>
          <w:rFonts w:ascii="仿宋_GB2312" w:eastAsia="仿宋_GB2312"/>
          <w:sz w:val="32"/>
          <w:szCs w:val="32"/>
        </w:rPr>
      </w:pPr>
      <w:r>
        <w:rPr>
          <w:rFonts w:hint="eastAsia" w:ascii="黑体" w:hAnsi="黑体" w:eastAsia="黑体" w:cs="黑体"/>
          <w:sz w:val="32"/>
          <w:szCs w:val="32"/>
        </w:rPr>
        <w:t>注重能力素质提升，切实提高管理服务水平。</w:t>
      </w:r>
      <w:r>
        <w:rPr>
          <w:rFonts w:hint="eastAsia" w:ascii="仿宋_GB2312" w:eastAsia="仿宋_GB2312"/>
          <w:b/>
          <w:sz w:val="32"/>
          <w:szCs w:val="32"/>
        </w:rPr>
        <w:t>一是突出素质提升，着力提高工作能力。</w:t>
      </w:r>
      <w:r>
        <w:rPr>
          <w:rFonts w:hint="eastAsia" w:ascii="仿宋_GB2312" w:hAnsi="黑体" w:eastAsia="仿宋_GB2312" w:cs="黑体"/>
          <w:sz w:val="32"/>
          <w:szCs w:val="32"/>
        </w:rPr>
        <w:t>努力克服人员不足、流动性大等不利因素。结合工作实际，开展了以“内强素质、外树形象”为主题的系列素质提升活动。通过安排干部轮流讲解展品、查漏补缺、相互点评等方式，努力形成“人人都是讲解员”的良好氛围。“五一”前夕，举办了</w:t>
      </w:r>
      <w:r>
        <w:rPr>
          <w:rFonts w:hint="eastAsia" w:ascii="仿宋_GB2312" w:hAnsi="黑体" w:eastAsia="仿宋_GB2312" w:cs="黑体"/>
          <w:color w:val="000000" w:themeColor="text1"/>
          <w:sz w:val="32"/>
          <w:szCs w:val="32"/>
        </w:rPr>
        <w:t>临泽县科技馆科普知识讲解大赛</w:t>
      </w:r>
      <w:r>
        <w:rPr>
          <w:rFonts w:hint="eastAsia" w:ascii="仿宋_GB2312" w:hAnsi="黑体" w:eastAsia="仿宋_GB2312" w:cs="黑体"/>
          <w:sz w:val="32"/>
          <w:szCs w:val="32"/>
        </w:rPr>
        <w:t>，切实提高个人讲解能力和综合素养。</w:t>
      </w:r>
      <w:r>
        <w:rPr>
          <w:rFonts w:hint="eastAsia" w:ascii="仿宋_GB2312" w:eastAsia="仿宋_GB2312"/>
          <w:sz w:val="32"/>
          <w:szCs w:val="32"/>
        </w:rPr>
        <w:t>5月份，组织参加了张掖市第六届科普讲解大赛，有3名选手获三等奖。今年全国科普日甘肃主场活动在张掖市主办，我馆9名展教人员积极参加各展区讲解服务，得到市科协高度赞扬。</w:t>
      </w:r>
      <w:r>
        <w:rPr>
          <w:rFonts w:hint="eastAsia" w:ascii="仿宋_GB2312" w:eastAsia="仿宋_GB2312"/>
          <w:b/>
          <w:sz w:val="32"/>
          <w:szCs w:val="32"/>
        </w:rPr>
        <w:t>二是加强制度建设，着力提高管理水平。</w:t>
      </w:r>
      <w:r>
        <w:rPr>
          <w:rFonts w:hint="eastAsia" w:ascii="仿宋_GB2312" w:hAnsi="黑体" w:eastAsia="仿宋_GB2312" w:cs="黑体"/>
          <w:sz w:val="32"/>
          <w:szCs w:val="32"/>
        </w:rPr>
        <w:t>修订并完善《科技馆安全管理工作制度》《科技馆绩效考核细则》等制度，将小到言谈举止、精神风貌、信息报送，大到场馆安全、工作质量及临时性、突击性工作全部纳入规范管理之列，实现了制度对单位工作的全覆盖，实现了过程管理和目标管理的良性结合，为实施精细化、科学化管理奠定了扎实的基础。</w:t>
      </w:r>
      <w:r>
        <w:rPr>
          <w:rFonts w:hint="eastAsia" w:ascii="仿宋_GB2312" w:hAnsi="黑体" w:eastAsia="仿宋_GB2312" w:cs="黑体"/>
          <w:b/>
          <w:sz w:val="32"/>
          <w:szCs w:val="32"/>
        </w:rPr>
        <w:t>三是主动公开服务信息，切实提高服务质量。</w:t>
      </w:r>
      <w:r>
        <w:rPr>
          <w:rFonts w:hint="eastAsia" w:ascii="仿宋_GB2312" w:hAnsi="黑体" w:eastAsia="仿宋_GB2312" w:cs="黑体"/>
          <w:sz w:val="32"/>
          <w:szCs w:val="32"/>
        </w:rPr>
        <w:t>在户外宣传栏醒目位置和场馆入口，设置专栏主动公示免费开放内容，内容涵盖服务项目、开闭馆时间、预约监督电话、服务承诺等方面，并将相关内容及时在微信公众号上推送。强化场馆运行维护和管理，展品完好率一直保持在</w:t>
      </w:r>
      <w:r>
        <w:rPr>
          <w:rFonts w:ascii="仿宋_GB2312" w:hAnsi="黑体" w:eastAsia="仿宋_GB2312" w:cs="黑体"/>
          <w:sz w:val="32"/>
          <w:szCs w:val="32"/>
        </w:rPr>
        <w:t>97</w:t>
      </w:r>
      <w:r>
        <w:rPr>
          <w:rFonts w:hint="eastAsia" w:ascii="仿宋_GB2312" w:hAnsi="黑体" w:eastAsia="仿宋_GB2312" w:cs="黑体"/>
          <w:sz w:val="32"/>
          <w:szCs w:val="32"/>
        </w:rPr>
        <w:t>%以上，观众满意度持续上升。</w:t>
      </w:r>
    </w:p>
    <w:p w14:paraId="64D94387">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黑体" w:eastAsia="仿宋_GB2312" w:cs="黑体"/>
          <w:sz w:val="32"/>
          <w:szCs w:val="32"/>
        </w:rPr>
      </w:pPr>
      <w:r>
        <w:rPr>
          <w:rFonts w:hint="eastAsia" w:ascii="黑体" w:hAnsi="黑体" w:eastAsia="黑体" w:cs="黑体"/>
          <w:sz w:val="32"/>
          <w:szCs w:val="32"/>
        </w:rPr>
        <w:t>树牢安全责任意识，切实加强安全运行管理</w:t>
      </w:r>
      <w:r>
        <w:rPr>
          <w:rFonts w:hint="eastAsia" w:ascii="黑体" w:hAnsi="黑体" w:eastAsia="黑体" w:cs="黑体"/>
          <w:sz w:val="32"/>
          <w:szCs w:val="32"/>
          <w:lang w:eastAsia="zh-CN"/>
        </w:rPr>
        <w:t>。</w:t>
      </w:r>
      <w:r>
        <w:rPr>
          <w:rFonts w:hint="eastAsia" w:ascii="仿宋_GB2312" w:hAnsi="黑体" w:eastAsia="仿宋_GB2312" w:cs="黑体"/>
          <w:sz w:val="32"/>
          <w:szCs w:val="32"/>
        </w:rPr>
        <w:t>树牢以人为本、生命至上理念，坚决克服侥幸心理和麻痹情绪，精心制定了突发事件应急预案，定期组织紧急疏散和消防演练，切实提高了安全防范水平。</w:t>
      </w:r>
      <w:r>
        <w:rPr>
          <w:rFonts w:hint="eastAsia" w:ascii="仿宋_GB2312" w:hAnsi="黑体" w:eastAsia="仿宋_GB2312" w:cs="黑体"/>
          <w:b/>
          <w:sz w:val="32"/>
          <w:szCs w:val="32"/>
        </w:rPr>
        <w:t>一是全面摸排消防安全隐患。</w:t>
      </w:r>
      <w:r>
        <w:rPr>
          <w:rFonts w:hint="eastAsia" w:ascii="仿宋_GB2312" w:hAnsi="黑体" w:eastAsia="仿宋_GB2312" w:cs="黑体"/>
          <w:sz w:val="32"/>
          <w:szCs w:val="32"/>
        </w:rPr>
        <w:t>每月组织维保单位和专业电工对展厅内的所有消防设施进行全面排查，消防水罐储水充足、消防泵房运行稳定</w:t>
      </w:r>
      <w:r>
        <w:rPr>
          <w:rFonts w:hint="eastAsia" w:ascii="仿宋_GB2312" w:eastAsia="仿宋_GB2312"/>
          <w:sz w:val="32"/>
          <w:szCs w:val="32"/>
        </w:rPr>
        <w:t>，消防设施设备运行状态良好。所有用电设备均装有漏电、过载保护开关，不存在超负荷用电的情况。本年度对消防设备失灵阀门配件进行更换，同时新增消防双电源发电机组确保场馆安全稳定运行。</w:t>
      </w:r>
      <w:r>
        <w:rPr>
          <w:rFonts w:hint="eastAsia" w:ascii="仿宋_GB2312" w:hAnsi="黑体" w:eastAsia="仿宋_GB2312" w:cs="黑体"/>
          <w:b/>
          <w:sz w:val="32"/>
          <w:szCs w:val="32"/>
        </w:rPr>
        <w:t>二是逐一排查展项运行隐患。</w:t>
      </w:r>
      <w:r>
        <w:rPr>
          <w:rFonts w:hint="eastAsia" w:ascii="仿宋_GB2312" w:hAnsi="仿宋_GB2312" w:eastAsia="仿宋_GB2312" w:cs="仿宋_GB2312"/>
          <w:sz w:val="32"/>
          <w:szCs w:val="32"/>
        </w:rPr>
        <w:t>根据岗位职责和工作分工，分区域对所有展品展项和公共设施分配到人，明确责任事项和工作要求，确保不留死角</w:t>
      </w:r>
      <w:r>
        <w:rPr>
          <w:rFonts w:hint="eastAsia" w:ascii="仿宋_GB2312" w:hAnsi="楷体" w:eastAsia="仿宋_GB2312"/>
          <w:kern w:val="10"/>
          <w:sz w:val="32"/>
          <w:szCs w:val="32"/>
        </w:rPr>
        <w:t>，</w:t>
      </w:r>
      <w:r>
        <w:rPr>
          <w:rFonts w:hint="eastAsia" w:ascii="仿宋_GB2312" w:hAnsi="仿宋_GB2312" w:eastAsia="仿宋_GB2312" w:cs="仿宋_GB2312"/>
          <w:sz w:val="32"/>
          <w:szCs w:val="32"/>
        </w:rPr>
        <w:t>实行展品维修销号管理，未销号的展品展项不得向公众开放。</w:t>
      </w:r>
      <w:r>
        <w:rPr>
          <w:rFonts w:hint="eastAsia" w:ascii="仿宋_GB2312" w:hAnsi="黑体" w:eastAsia="仿宋_GB2312" w:cs="黑体"/>
          <w:b/>
          <w:sz w:val="32"/>
          <w:szCs w:val="32"/>
        </w:rPr>
        <w:t>三是开展消防安全灭火演练。</w:t>
      </w:r>
      <w:r>
        <w:rPr>
          <w:rFonts w:hint="eastAsia" w:ascii="仿宋_GB2312" w:hAnsi="仿宋_GB2312" w:eastAsia="仿宋_GB2312" w:cs="仿宋_GB2312"/>
          <w:sz w:val="32"/>
          <w:szCs w:val="32"/>
        </w:rPr>
        <w:t>依托消防科普馆，</w:t>
      </w:r>
      <w:r>
        <w:rPr>
          <w:rFonts w:hint="eastAsia" w:ascii="仿宋_GB2312" w:hAnsi="黑体" w:eastAsia="仿宋_GB2312" w:cs="黑体"/>
          <w:sz w:val="32"/>
          <w:szCs w:val="32"/>
        </w:rPr>
        <w:t>邀请消防大队教官，定期到我馆开展消防安全知识培训，每季度开展一次现场灭火演练和紧急疏散演练，通过讲解授课、现场指导、参与体验，</w:t>
      </w:r>
      <w:r>
        <w:rPr>
          <w:rFonts w:hint="eastAsia" w:ascii="仿宋_GB2312" w:eastAsia="仿宋_GB2312"/>
          <w:sz w:val="32"/>
          <w:szCs w:val="32"/>
        </w:rPr>
        <w:t>工作人员具备了必要的消防器械操作技能和安全应急疏散技能。</w:t>
      </w:r>
      <w:r>
        <w:rPr>
          <w:rFonts w:hint="eastAsia" w:ascii="仿宋_GB2312" w:hAnsi="黑体" w:eastAsia="仿宋_GB2312" w:cs="黑体"/>
          <w:b/>
          <w:sz w:val="32"/>
          <w:szCs w:val="32"/>
        </w:rPr>
        <w:t>四是加强对展品展项及展厅消杀力度。</w:t>
      </w:r>
      <w:r>
        <w:rPr>
          <w:rFonts w:hint="eastAsia" w:ascii="仿宋_GB2312" w:eastAsia="仿宋_GB2312"/>
          <w:sz w:val="32"/>
          <w:szCs w:val="32"/>
        </w:rPr>
        <w:t>购买84消毒液、酒精、洗手液等消毒剂，每天定期对科技馆场地、展品展项进行消毒工作，确保场馆能有一个干净卫生的环境。</w:t>
      </w:r>
      <w:r>
        <w:rPr>
          <w:rFonts w:hint="eastAsia" w:ascii="仿宋_GB2312" w:hAnsi="黑体" w:eastAsia="仿宋_GB2312" w:cs="黑体"/>
          <w:b/>
          <w:sz w:val="32"/>
          <w:szCs w:val="32"/>
        </w:rPr>
        <w:t>五是加强电梯安全运行管理。</w:t>
      </w:r>
      <w:r>
        <w:rPr>
          <w:rFonts w:hint="eastAsia" w:ascii="仿宋_GB2312" w:hAnsi="黑体" w:eastAsia="仿宋_GB2312" w:cs="黑体"/>
          <w:sz w:val="32"/>
          <w:szCs w:val="32"/>
        </w:rPr>
        <w:t>积极和市场监管部门沟通衔接，并督促联系电梯供货商对电梯进行了全面排查，安排工作人员积极参加电梯安全运行和维修保养培训班，使其具备必要的应急处置和安全规范操作技能。</w:t>
      </w:r>
    </w:p>
    <w:p w14:paraId="66C3A618">
      <w:pPr>
        <w:keepNext w:val="0"/>
        <w:keepLines w:val="0"/>
        <w:pageBreakBefore w:val="0"/>
        <w:kinsoku/>
        <w:wordWrap/>
        <w:overflowPunct/>
        <w:topLinePunct w:val="0"/>
        <w:autoSpaceDE/>
        <w:autoSpaceDN/>
        <w:bidi w:val="0"/>
        <w:spacing w:line="560" w:lineRule="exact"/>
        <w:ind w:firstLine="64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（三）自评工作实施过程：</w:t>
      </w:r>
    </w:p>
    <w:p w14:paraId="6B4E4153">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县科协对</w:t>
      </w:r>
      <w:r>
        <w:rPr>
          <w:rFonts w:hint="eastAsia" w:ascii="仿宋_GB2312" w:hAnsi="宋体" w:eastAsia="仿宋_GB2312" w:cs="宋体"/>
          <w:kern w:val="0"/>
          <w:sz w:val="32"/>
          <w:szCs w:val="32"/>
          <w:lang w:val="en-US" w:eastAsia="zh-CN"/>
        </w:rPr>
        <w:t>2023年科技馆免费开放补助资金</w:t>
      </w:r>
      <w:r>
        <w:rPr>
          <w:rFonts w:hint="eastAsia" w:ascii="仿宋_GB2312" w:eastAsia="仿宋_GB2312"/>
          <w:sz w:val="32"/>
          <w:szCs w:val="32"/>
          <w:lang w:eastAsia="zh-CN"/>
        </w:rPr>
        <w:t>是否纳入预算绩效管理体系及资金拨付率等情况进行逐一自查，并对资金的安全性、规范性及有效性进行重点分析，包括资金支付范围、支付标准、支付进度、支付依据等是否合规合法，是否与预算相符，并对自评中发现的相关问题进行分析说明。</w:t>
      </w:r>
    </w:p>
    <w:p w14:paraId="0E1DE82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黑体" w:hAnsi="黑体" w:eastAsia="黑体" w:cs="黑体"/>
          <w:bCs/>
          <w:sz w:val="32"/>
          <w:szCs w:val="32"/>
        </w:rPr>
        <w:t>二、</w:t>
      </w:r>
      <w:r>
        <w:rPr>
          <w:rFonts w:ascii="黑体" w:hAnsi="黑体" w:eastAsia="黑体" w:cs="黑体"/>
          <w:bCs/>
          <w:sz w:val="32"/>
          <w:szCs w:val="32"/>
        </w:rPr>
        <w:t>项目概况和资金使用管理情况</w:t>
      </w:r>
    </w:p>
    <w:p w14:paraId="30686B09">
      <w:pPr>
        <w:spacing w:line="560" w:lineRule="exact"/>
        <w:ind w:firstLine="640" w:firstLineChars="200"/>
        <w:rPr>
          <w:rFonts w:hint="eastAsia" w:ascii="仿宋_GB2312" w:hAnsi="黑体" w:eastAsia="仿宋_GB2312" w:cs="黑体"/>
          <w:sz w:val="32"/>
          <w:szCs w:val="32"/>
          <w:lang w:eastAsia="zh-CN"/>
        </w:rPr>
      </w:pPr>
      <w:r>
        <w:rPr>
          <w:rFonts w:hint="eastAsia" w:ascii="仿宋_GB2312" w:hAnsi="仿宋_GB2312" w:eastAsia="仿宋_GB2312" w:cs="仿宋_GB2312"/>
          <w:b w:val="0"/>
          <w:bCs w:val="0"/>
          <w:color w:val="auto"/>
          <w:sz w:val="32"/>
          <w:szCs w:val="32"/>
          <w:u w:val="none"/>
          <w:lang w:val="en-US" w:eastAsia="zh-CN"/>
        </w:rPr>
        <w:t>(一)项目基本性质、用途、涉及范围等；</w:t>
      </w:r>
      <w:r>
        <w:rPr>
          <w:rFonts w:hint="eastAsia" w:ascii="仿宋_GB2312" w:hAnsi="黑体" w:eastAsia="仿宋_GB2312" w:cs="黑体"/>
          <w:sz w:val="32"/>
          <w:szCs w:val="32"/>
        </w:rPr>
        <w:t xml:space="preserve"> </w:t>
      </w:r>
      <w:r>
        <w:rPr>
          <w:rFonts w:ascii="仿宋_GB2312" w:hAnsi="黑体" w:eastAsia="仿宋_GB2312" w:cs="黑体"/>
          <w:sz w:val="32"/>
          <w:szCs w:val="32"/>
        </w:rPr>
        <w:t>2023年免开补助资金使用情况</w:t>
      </w:r>
      <w:r>
        <w:rPr>
          <w:rFonts w:hint="eastAsia" w:ascii="仿宋_GB2312" w:hAnsi="黑体" w:eastAsia="仿宋_GB2312" w:cs="黑体"/>
          <w:sz w:val="32"/>
          <w:szCs w:val="32"/>
        </w:rPr>
        <w:t>：</w:t>
      </w:r>
      <w:r>
        <w:rPr>
          <w:rFonts w:ascii="仿宋_GB2312" w:hAnsi="黑体" w:eastAsia="仿宋_GB2312" w:cs="黑体"/>
          <w:sz w:val="32"/>
          <w:szCs w:val="32"/>
        </w:rPr>
        <w:t>2023年1月1日至</w:t>
      </w:r>
      <w:r>
        <w:rPr>
          <w:rFonts w:hint="eastAsia" w:ascii="仿宋_GB2312" w:hAnsi="黑体" w:eastAsia="仿宋_GB2312" w:cs="黑体"/>
          <w:sz w:val="32"/>
          <w:szCs w:val="32"/>
          <w:lang w:val="en-US" w:eastAsia="zh-CN"/>
        </w:rPr>
        <w:t>12</w:t>
      </w:r>
      <w:r>
        <w:rPr>
          <w:rFonts w:ascii="仿宋_GB2312" w:hAnsi="黑体" w:eastAsia="仿宋_GB2312" w:cs="黑体"/>
          <w:sz w:val="32"/>
          <w:szCs w:val="32"/>
        </w:rPr>
        <w:t>月31日共计支出科技馆免费开放补助资金</w:t>
      </w:r>
      <w:r>
        <w:rPr>
          <w:rFonts w:hint="eastAsia" w:ascii="仿宋_GB2312" w:hAnsi="黑体" w:eastAsia="仿宋_GB2312" w:cs="黑体"/>
          <w:sz w:val="32"/>
          <w:szCs w:val="32"/>
          <w:lang w:val="en-US" w:eastAsia="zh-CN"/>
        </w:rPr>
        <w:t>1554225</w:t>
      </w:r>
      <w:r>
        <w:rPr>
          <w:rFonts w:ascii="仿宋_GB2312" w:hAnsi="黑体" w:eastAsia="仿宋_GB2312" w:cs="黑体"/>
          <w:sz w:val="32"/>
          <w:szCs w:val="32"/>
        </w:rPr>
        <w:t>.</w:t>
      </w:r>
      <w:r>
        <w:rPr>
          <w:rFonts w:hint="eastAsia" w:ascii="仿宋_GB2312" w:hAnsi="黑体" w:eastAsia="仿宋_GB2312" w:cs="黑体"/>
          <w:sz w:val="32"/>
          <w:szCs w:val="32"/>
          <w:lang w:val="en-US" w:eastAsia="zh-CN"/>
        </w:rPr>
        <w:t>33</w:t>
      </w:r>
      <w:r>
        <w:rPr>
          <w:rFonts w:ascii="仿宋_GB2312" w:hAnsi="黑体" w:eastAsia="仿宋_GB2312" w:cs="黑体"/>
          <w:sz w:val="32"/>
          <w:szCs w:val="32"/>
        </w:rPr>
        <w:t>元。其中：</w:t>
      </w:r>
      <w:r>
        <w:rPr>
          <w:rFonts w:hint="eastAsia" w:ascii="仿宋_GB2312" w:hAnsi="黑体" w:eastAsia="仿宋_GB2312" w:cs="黑体"/>
          <w:sz w:val="32"/>
          <w:szCs w:val="32"/>
          <w:lang w:eastAsia="zh-CN"/>
        </w:rPr>
        <w:t>支出</w:t>
      </w:r>
      <w:r>
        <w:rPr>
          <w:rFonts w:hint="eastAsia" w:ascii="仿宋_GB2312" w:hAnsi="黑体" w:eastAsia="仿宋_GB2312" w:cs="黑体"/>
          <w:sz w:val="32"/>
          <w:szCs w:val="32"/>
          <w:lang w:val="en-US" w:eastAsia="zh-CN"/>
        </w:rPr>
        <w:t>2022年结转免费开放资金790841.85元，支出2023年免费开放资金763383.48元，支出</w:t>
      </w:r>
      <w:r>
        <w:rPr>
          <w:rFonts w:ascii="仿宋_GB2312" w:hAnsi="黑体" w:eastAsia="仿宋_GB2312" w:cs="黑体"/>
          <w:sz w:val="32"/>
          <w:szCs w:val="32"/>
        </w:rPr>
        <w:t>临时聘用人员劳务费</w:t>
      </w:r>
      <w:r>
        <w:rPr>
          <w:rFonts w:hint="eastAsia" w:ascii="仿宋_GB2312" w:hAnsi="黑体" w:eastAsia="仿宋_GB2312" w:cs="黑体"/>
          <w:sz w:val="32"/>
          <w:szCs w:val="32"/>
          <w:lang w:val="en-US" w:eastAsia="zh-CN"/>
        </w:rPr>
        <w:t>335297.66</w:t>
      </w:r>
      <w:r>
        <w:rPr>
          <w:rFonts w:ascii="仿宋_GB2312" w:hAnsi="黑体" w:eastAsia="仿宋_GB2312" w:cs="黑体"/>
          <w:sz w:val="32"/>
          <w:szCs w:val="32"/>
        </w:rPr>
        <w:t>元（其中支付临聘人员工资</w:t>
      </w:r>
      <w:r>
        <w:rPr>
          <w:rFonts w:hint="eastAsia" w:ascii="仿宋_GB2312" w:hAnsi="黑体" w:eastAsia="仿宋_GB2312" w:cs="黑体"/>
          <w:sz w:val="32"/>
          <w:szCs w:val="32"/>
          <w:lang w:val="en-US" w:eastAsia="zh-CN"/>
        </w:rPr>
        <w:t>292774.39</w:t>
      </w:r>
      <w:r>
        <w:rPr>
          <w:rFonts w:ascii="仿宋_GB2312" w:hAnsi="黑体" w:eastAsia="仿宋_GB2312" w:cs="黑体"/>
          <w:sz w:val="32"/>
          <w:szCs w:val="32"/>
        </w:rPr>
        <w:t>元、缴纳临聘人员社保及医保</w:t>
      </w:r>
      <w:r>
        <w:rPr>
          <w:rFonts w:hint="eastAsia" w:ascii="仿宋_GB2312" w:hAnsi="黑体" w:eastAsia="仿宋_GB2312" w:cs="黑体"/>
          <w:sz w:val="32"/>
          <w:szCs w:val="32"/>
          <w:lang w:val="en-US" w:eastAsia="zh-CN"/>
        </w:rPr>
        <w:t>42523.27</w:t>
      </w:r>
      <w:r>
        <w:rPr>
          <w:rFonts w:ascii="仿宋_GB2312" w:hAnsi="黑体" w:eastAsia="仿宋_GB2312" w:cs="黑体"/>
          <w:sz w:val="32"/>
          <w:szCs w:val="32"/>
        </w:rPr>
        <w:t>元），</w:t>
      </w:r>
      <w:r>
        <w:rPr>
          <w:rFonts w:hint="eastAsia" w:ascii="仿宋_GB2312" w:hAnsi="黑体" w:eastAsia="仿宋_GB2312" w:cs="黑体"/>
          <w:sz w:val="32"/>
          <w:szCs w:val="32"/>
          <w:lang w:eastAsia="zh-CN"/>
        </w:rPr>
        <w:t>支出</w:t>
      </w:r>
      <w:r>
        <w:rPr>
          <w:rFonts w:ascii="仿宋_GB2312" w:hAnsi="黑体" w:eastAsia="仿宋_GB2312" w:cs="黑体"/>
          <w:sz w:val="32"/>
          <w:szCs w:val="32"/>
        </w:rPr>
        <w:t>电费229592.46元、</w:t>
      </w:r>
      <w:r>
        <w:rPr>
          <w:rFonts w:hint="eastAsia" w:ascii="仿宋_GB2312" w:hAnsi="黑体" w:eastAsia="仿宋_GB2312" w:cs="黑体"/>
          <w:sz w:val="32"/>
          <w:szCs w:val="32"/>
          <w:lang w:eastAsia="zh-CN"/>
        </w:rPr>
        <w:t>支出</w:t>
      </w:r>
      <w:r>
        <w:rPr>
          <w:rFonts w:ascii="仿宋_GB2312" w:hAnsi="黑体" w:eastAsia="仿宋_GB2312" w:cs="黑体"/>
          <w:sz w:val="32"/>
          <w:szCs w:val="32"/>
        </w:rPr>
        <w:t>水费</w:t>
      </w:r>
      <w:r>
        <w:rPr>
          <w:rFonts w:hint="eastAsia" w:ascii="仿宋_GB2312" w:hAnsi="黑体" w:eastAsia="仿宋_GB2312" w:cs="黑体"/>
          <w:sz w:val="32"/>
          <w:szCs w:val="32"/>
          <w:lang w:val="en-US" w:eastAsia="zh-CN"/>
        </w:rPr>
        <w:t>16623.60</w:t>
      </w:r>
      <w:r>
        <w:rPr>
          <w:rFonts w:ascii="仿宋_GB2312" w:hAnsi="黑体" w:eastAsia="仿宋_GB2312" w:cs="黑体"/>
          <w:sz w:val="32"/>
          <w:szCs w:val="32"/>
        </w:rPr>
        <w:t>元、场馆运行维护费</w:t>
      </w:r>
      <w:r>
        <w:rPr>
          <w:rFonts w:hint="eastAsia" w:ascii="仿宋_GB2312" w:hAnsi="黑体" w:eastAsia="仿宋_GB2312" w:cs="黑体"/>
          <w:sz w:val="32"/>
          <w:szCs w:val="32"/>
          <w:lang w:val="en-US" w:eastAsia="zh-CN"/>
        </w:rPr>
        <w:t>224321.1</w:t>
      </w:r>
      <w:r>
        <w:rPr>
          <w:rFonts w:ascii="仿宋_GB2312" w:hAnsi="黑体" w:eastAsia="仿宋_GB2312" w:cs="黑体"/>
          <w:sz w:val="32"/>
          <w:szCs w:val="32"/>
        </w:rPr>
        <w:t>元、场馆提升改造费65</w:t>
      </w:r>
      <w:r>
        <w:rPr>
          <w:rFonts w:hint="eastAsia" w:ascii="仿宋_GB2312" w:hAnsi="黑体" w:eastAsia="仿宋_GB2312" w:cs="黑体"/>
          <w:sz w:val="32"/>
          <w:szCs w:val="32"/>
          <w:lang w:val="en-US" w:eastAsia="zh-CN"/>
        </w:rPr>
        <w:t>2108.32</w:t>
      </w:r>
      <w:r>
        <w:rPr>
          <w:rFonts w:ascii="仿宋_GB2312" w:hAnsi="黑体" w:eastAsia="仿宋_GB2312" w:cs="黑体"/>
          <w:sz w:val="32"/>
          <w:szCs w:val="32"/>
        </w:rPr>
        <w:t>元（其中支付2022年场馆提升改造费用</w:t>
      </w:r>
      <w:r>
        <w:rPr>
          <w:rFonts w:hint="eastAsia" w:ascii="仿宋_GB2312" w:hAnsi="黑体" w:eastAsia="仿宋_GB2312" w:cs="黑体"/>
          <w:sz w:val="32"/>
          <w:szCs w:val="32"/>
          <w:lang w:val="en-US" w:eastAsia="zh-CN"/>
        </w:rPr>
        <w:t>224806.32</w:t>
      </w:r>
      <w:r>
        <w:rPr>
          <w:rFonts w:ascii="仿宋_GB2312" w:hAnsi="黑体" w:eastAsia="仿宋_GB2312" w:cs="黑体"/>
          <w:sz w:val="32"/>
          <w:szCs w:val="32"/>
        </w:rPr>
        <w:t>元，支付2023年场馆提升改造费用</w:t>
      </w:r>
      <w:r>
        <w:rPr>
          <w:rFonts w:hint="eastAsia" w:ascii="仿宋_GB2312" w:hAnsi="黑体" w:eastAsia="仿宋_GB2312" w:cs="黑体"/>
          <w:sz w:val="32"/>
          <w:szCs w:val="32"/>
          <w:lang w:val="en-US" w:eastAsia="zh-CN"/>
        </w:rPr>
        <w:t>427302</w:t>
      </w:r>
      <w:r>
        <w:rPr>
          <w:rFonts w:ascii="仿宋_GB2312" w:hAnsi="黑体" w:eastAsia="仿宋_GB2312" w:cs="黑体"/>
          <w:sz w:val="32"/>
          <w:szCs w:val="32"/>
        </w:rPr>
        <w:t>元），科普活动支出费用96282.19元。</w:t>
      </w:r>
    </w:p>
    <w:p w14:paraId="4BFED80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outlineLvl w:val="0"/>
        <w:rPr>
          <w:rFonts w:hint="eastAsia" w:ascii="仿宋_GB2312" w:hAnsi="仿宋_GB2312" w:eastAsia="仿宋_GB2312" w:cs="仿宋_GB2312"/>
          <w:b w:val="0"/>
          <w:bCs w:val="0"/>
          <w:color w:val="auto"/>
          <w:sz w:val="32"/>
          <w:szCs w:val="32"/>
          <w:lang w:val="en-US" w:eastAsia="zh-CN"/>
        </w:rPr>
      </w:pPr>
      <w:r>
        <w:rPr>
          <w:rFonts w:ascii="仿宋_GB2312" w:eastAsia="仿宋_GB2312"/>
          <w:sz w:val="32"/>
          <w:szCs w:val="32"/>
        </w:rPr>
        <w:t>(二)项目资金安排落实情况等</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u w:val="none"/>
          <w:lang w:val="en-US" w:eastAsia="zh-CN"/>
        </w:rPr>
        <w:t>县科技馆工作人员对项目实施全过程进行监管，实施过程中组成项目评估验收组对该项目进行了实地检查和验收</w:t>
      </w:r>
      <w:r>
        <w:rPr>
          <w:rFonts w:hint="eastAsia" w:ascii="仿宋_GB2312" w:hAnsi="仿宋_GB2312" w:eastAsia="仿宋_GB2312" w:cs="仿宋_GB2312"/>
          <w:b w:val="0"/>
          <w:bCs w:val="0"/>
          <w:color w:val="auto"/>
          <w:sz w:val="32"/>
          <w:szCs w:val="32"/>
          <w:lang w:val="en-US" w:eastAsia="zh-CN"/>
        </w:rPr>
        <w:t>。</w:t>
      </w:r>
    </w:p>
    <w:p w14:paraId="6493015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Times New Roman" w:eastAsia="仿宋_GB2312" w:cs="Times New Roman"/>
          <w:color w:val="000000"/>
          <w:w w:val="100"/>
          <w:sz w:val="32"/>
          <w:szCs w:val="32"/>
          <w:lang w:val="en-US" w:eastAsia="zh-CN"/>
        </w:rPr>
      </w:pPr>
      <w:r>
        <w:rPr>
          <w:rFonts w:ascii="仿宋_GB2312" w:eastAsia="仿宋_GB2312"/>
          <w:sz w:val="32"/>
          <w:szCs w:val="32"/>
        </w:rPr>
        <w:t>(</w:t>
      </w:r>
      <w:r>
        <w:rPr>
          <w:rFonts w:hint="eastAsia" w:ascii="仿宋_GB2312" w:eastAsia="仿宋_GB2312"/>
          <w:sz w:val="32"/>
          <w:szCs w:val="32"/>
          <w:lang w:eastAsia="zh-CN"/>
        </w:rPr>
        <w:t>三</w:t>
      </w:r>
      <w:r>
        <w:rPr>
          <w:rFonts w:ascii="仿宋_GB2312" w:eastAsia="仿宋_GB2312"/>
          <w:sz w:val="32"/>
          <w:szCs w:val="32"/>
        </w:rPr>
        <w:t>)</w:t>
      </w:r>
      <w:r>
        <w:rPr>
          <w:rFonts w:hint="eastAsia" w:ascii="仿宋_GB2312" w:hAnsi="Times New Roman" w:eastAsia="仿宋_GB2312" w:cs="Times New Roman"/>
          <w:color w:val="000000"/>
          <w:w w:val="100"/>
          <w:sz w:val="32"/>
          <w:szCs w:val="32"/>
          <w:lang w:val="en-US" w:eastAsia="zh-CN"/>
        </w:rPr>
        <w:t>效益目标</w:t>
      </w:r>
      <w:r>
        <w:rPr>
          <w:rFonts w:hint="eastAsia" w:ascii="仿宋_GB2312" w:eastAsia="仿宋_GB2312" w:cs="Times New Roman"/>
          <w:color w:val="000000"/>
          <w:w w:val="100"/>
          <w:sz w:val="32"/>
          <w:szCs w:val="32"/>
          <w:lang w:val="en-US" w:eastAsia="zh-CN"/>
        </w:rPr>
        <w:t>：</w:t>
      </w:r>
      <w:r>
        <w:rPr>
          <w:rFonts w:hint="eastAsia" w:ascii="仿宋_GB2312" w:hAnsi="Times New Roman" w:eastAsia="仿宋_GB2312" w:cs="Times New Roman"/>
          <w:color w:val="000000"/>
          <w:w w:val="100"/>
          <w:sz w:val="32"/>
          <w:szCs w:val="32"/>
          <w:lang w:val="en-US" w:eastAsia="zh-CN"/>
        </w:rPr>
        <w:t>临泽县科技馆2023年度展厅免费开放267天，</w:t>
      </w:r>
      <w:r>
        <w:rPr>
          <w:rFonts w:hint="eastAsia" w:ascii="仿宋_GB2312" w:hAnsi="仿宋" w:eastAsia="仿宋_GB2312" w:cs="Times New Roman"/>
          <w:color w:val="auto"/>
          <w:sz w:val="32"/>
          <w:szCs w:val="32"/>
          <w:lang w:val="en-US" w:eastAsia="zh-CN"/>
        </w:rPr>
        <w:t>建筑面积5237平方米，馆内展陈总面积3600平方米，常设展厅面积2740平方米，</w:t>
      </w:r>
      <w:r>
        <w:rPr>
          <w:rFonts w:hint="eastAsia" w:ascii="仿宋_GB2312" w:hAnsi="Times New Roman" w:eastAsia="仿宋_GB2312" w:cs="Times New Roman"/>
          <w:color w:val="000000"/>
          <w:w w:val="100"/>
          <w:sz w:val="32"/>
          <w:szCs w:val="32"/>
          <w:lang w:val="en-US" w:eastAsia="zh-CN"/>
        </w:rPr>
        <w:t>参观人次109522人次，开展</w:t>
      </w:r>
      <w:r>
        <w:rPr>
          <w:rFonts w:hint="eastAsia" w:ascii="仿宋_GB2312" w:hAnsi="仿宋_GB2312" w:eastAsia="仿宋_GB2312" w:cs="仿宋_GB2312"/>
          <w:sz w:val="32"/>
          <w:szCs w:val="32"/>
          <w:lang w:val="en-US" w:eastAsia="zh-CN"/>
        </w:rPr>
        <w:t>科普活动109场次，馆内62场次，每次参与人数40人左右，馆外47场次，每次参与人数60人左右。</w:t>
      </w:r>
      <w:r>
        <w:rPr>
          <w:rFonts w:hint="eastAsia" w:ascii="仿宋_GB2312" w:hAnsi="Times New Roman" w:eastAsia="仿宋_GB2312" w:cs="Times New Roman"/>
          <w:color w:val="000000"/>
          <w:w w:val="100"/>
          <w:sz w:val="32"/>
          <w:szCs w:val="32"/>
          <w:lang w:val="en-US" w:eastAsia="zh-CN"/>
        </w:rPr>
        <w:t>展品完好率≥97%，公众满意度100%。</w:t>
      </w:r>
    </w:p>
    <w:p w14:paraId="4ACA548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val="en-US" w:eastAsia="zh-CN"/>
        </w:rPr>
      </w:pPr>
      <w:r>
        <w:rPr>
          <w:rFonts w:ascii="仿宋_GB2312" w:eastAsia="仿宋_GB2312"/>
          <w:sz w:val="32"/>
          <w:szCs w:val="32"/>
        </w:rPr>
        <w:t>(</w:t>
      </w:r>
      <w:r>
        <w:rPr>
          <w:rFonts w:hint="eastAsia" w:ascii="仿宋_GB2312" w:eastAsia="仿宋_GB2312"/>
          <w:sz w:val="32"/>
          <w:szCs w:val="32"/>
          <w:lang w:eastAsia="zh-CN"/>
        </w:rPr>
        <w:t>四</w:t>
      </w:r>
      <w:r>
        <w:rPr>
          <w:rFonts w:ascii="仿宋_GB2312" w:eastAsia="仿宋_GB2312"/>
          <w:sz w:val="32"/>
          <w:szCs w:val="32"/>
        </w:rPr>
        <w:t>)项目资金实际使用情况与年初预算对比分析</w:t>
      </w:r>
      <w:r>
        <w:rPr>
          <w:rFonts w:hint="eastAsia" w:ascii="仿宋_GB2312" w:eastAsia="仿宋_GB2312"/>
          <w:sz w:val="32"/>
          <w:szCs w:val="32"/>
          <w:lang w:eastAsia="zh-CN"/>
        </w:rPr>
        <w:t>：</w:t>
      </w:r>
      <w:r>
        <w:rPr>
          <w:rFonts w:hint="eastAsia" w:ascii="仿宋_GB2312" w:hAnsi="宋体" w:eastAsia="仿宋_GB2312" w:cs="宋体"/>
          <w:kern w:val="0"/>
          <w:sz w:val="32"/>
          <w:szCs w:val="32"/>
          <w:lang w:val="en-US" w:eastAsia="zh-CN"/>
        </w:rPr>
        <w:t>2023年科技馆免费开放补助资金项目资金</w:t>
      </w:r>
      <w:r>
        <w:rPr>
          <w:rFonts w:hint="eastAsia" w:ascii="仿宋_GB2312" w:eastAsia="仿宋_GB2312"/>
          <w:sz w:val="32"/>
          <w:szCs w:val="32"/>
          <w:lang w:eastAsia="zh-CN"/>
        </w:rPr>
        <w:t>支付范围、支付标准、支付进度等都与年初预算相符，</w:t>
      </w:r>
      <w:r>
        <w:rPr>
          <w:rFonts w:hint="eastAsia" w:ascii="仿宋_GB2312" w:eastAsia="仿宋_GB2312"/>
          <w:sz w:val="32"/>
          <w:szCs w:val="32"/>
          <w:lang w:val="en-US" w:eastAsia="zh-CN"/>
        </w:rPr>
        <w:t xml:space="preserve">       </w:t>
      </w:r>
    </w:p>
    <w:p w14:paraId="30C0228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rPr>
      </w:pPr>
      <w:r>
        <w:rPr>
          <w:rFonts w:hint="eastAsia" w:ascii="黑体" w:hAnsi="黑体" w:eastAsia="黑体" w:cs="黑体"/>
          <w:bCs/>
          <w:sz w:val="32"/>
          <w:szCs w:val="32"/>
        </w:rPr>
        <w:t>三、</w:t>
      </w:r>
      <w:r>
        <w:rPr>
          <w:rFonts w:ascii="黑体" w:hAnsi="黑体" w:eastAsia="黑体" w:cs="黑体"/>
          <w:bCs/>
          <w:sz w:val="32"/>
          <w:szCs w:val="32"/>
        </w:rPr>
        <w:t>项目绩效情况</w:t>
      </w:r>
    </w:p>
    <w:p w14:paraId="663705A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outlineLvl w:val="0"/>
        <w:rPr>
          <w:rFonts w:hint="eastAsia" w:ascii="仿宋_GB2312" w:hAnsi="仿宋_GB2312" w:eastAsia="仿宋_GB2312" w:cs="仿宋_GB2312"/>
          <w:color w:val="auto"/>
          <w:sz w:val="32"/>
          <w:szCs w:val="32"/>
          <w:lang w:val="en-US" w:eastAsia="zh-CN"/>
        </w:rPr>
      </w:pPr>
      <w:r>
        <w:rPr>
          <w:rFonts w:ascii="仿宋_GB2312" w:eastAsia="仿宋_GB2312"/>
          <w:sz w:val="32"/>
          <w:szCs w:val="32"/>
        </w:rPr>
        <w:t>(一)对比绩效目标自评表,分析说明项目绩效目标实际完成情况</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经科技馆组成的项目评估验收组对项目实施情况进行现场评估验收，该项目实施过程中资料、票据整理齐全，项目管理到位，活动取得丰硕成果，意义深远。临泽县科技馆牢牢把握服务全民科学素质提升主线，坚持普及科学知识、弘扬科学精神、传播科学思想和科学方法的工作宗旨，充分发挥科技馆科普主阵地作用，大力向社会免费开放，满足群众日益增长的多样性科普文化需求，不断增强科普公共服务能力，让群众的科普获得感和科学素质得到大幅提升。</w:t>
      </w:r>
    </w:p>
    <w:p w14:paraId="65E8EC5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(二)对绩效目标、评价指标体系进行分析,提出改进建议</w:t>
      </w:r>
      <w:r>
        <w:rPr>
          <w:rFonts w:hint="eastAsia" w:ascii="仿宋_GB2312" w:eastAsia="仿宋_GB2312"/>
          <w:sz w:val="32"/>
          <w:szCs w:val="32"/>
          <w:lang w:eastAsia="zh-CN"/>
        </w:rPr>
        <w:t>：通过对上述项目资金绩效目标、评价指标体系进行综合分析，我单位下一步的改进建议：一是进一步完善制度建设。完善项目管理、监督等制度，细化管理方式，提高项目资金规范化程度。二是提高业务综合运用能力。提高对项目资金管理工作重要性的认识，加强综合分析财务指标的能力。</w:t>
      </w:r>
    </w:p>
    <w:p w14:paraId="74E755E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ascii="仿宋_GB2312" w:eastAsia="仿宋_GB2312"/>
          <w:sz w:val="32"/>
          <w:szCs w:val="32"/>
        </w:rPr>
        <w:t>(三)对项目</w:t>
      </w:r>
      <w:r>
        <w:rPr>
          <w:rFonts w:hint="eastAsia" w:ascii="仿宋_GB2312" w:eastAsia="仿宋_GB2312"/>
          <w:sz w:val="32"/>
          <w:szCs w:val="32"/>
          <w:lang w:eastAsia="zh-CN"/>
        </w:rPr>
        <w:t>实施中存在的问题</w:t>
      </w:r>
      <w:r>
        <w:rPr>
          <w:rFonts w:ascii="仿宋_GB2312" w:eastAsia="仿宋_GB2312"/>
          <w:sz w:val="32"/>
          <w:szCs w:val="32"/>
        </w:rPr>
        <w:t>原因分析,提出改进意见</w:t>
      </w:r>
      <w:r>
        <w:rPr>
          <w:rFonts w:hint="eastAsia" w:ascii="仿宋_GB2312" w:eastAsia="仿宋_GB2312"/>
          <w:sz w:val="32"/>
          <w:szCs w:val="32"/>
        </w:rPr>
        <w:t>；</w:t>
      </w:r>
    </w:p>
    <w:p w14:paraId="2F172825">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i w:val="0"/>
          <w:iCs w:val="0"/>
          <w:caps w:val="0"/>
          <w:color w:val="000000"/>
          <w:spacing w:val="0"/>
          <w:sz w:val="31"/>
          <w:szCs w:val="31"/>
          <w:shd w:val="clear" w:fill="FFFFFF"/>
        </w:rPr>
      </w:pPr>
      <w:r>
        <w:rPr>
          <w:rFonts w:hint="eastAsia" w:ascii="仿宋_GB2312" w:eastAsia="仿宋_GB2312"/>
          <w:sz w:val="32"/>
          <w:szCs w:val="32"/>
          <w:lang w:eastAsia="zh-CN"/>
        </w:rPr>
        <w:t>1.</w:t>
      </w:r>
      <w:r>
        <w:rPr>
          <w:rFonts w:ascii="仿宋_GB2312" w:hAnsi="宋体" w:eastAsia="仿宋_GB2312" w:cs="仿宋_GB2312"/>
          <w:i w:val="0"/>
          <w:iCs w:val="0"/>
          <w:caps w:val="0"/>
          <w:color w:val="000000"/>
          <w:spacing w:val="0"/>
          <w:sz w:val="31"/>
          <w:szCs w:val="31"/>
          <w:shd w:val="clear" w:fill="FFFFFF"/>
        </w:rPr>
        <w:t>绩效指标设置与预算支出结构结合不够紧密，个别指标设置不够量化，如产出质量指标仅对指标进行了笼统描述，缺乏可衡量的量化标准。</w:t>
      </w:r>
    </w:p>
    <w:p w14:paraId="34647C32">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i w:val="0"/>
          <w:iCs w:val="0"/>
          <w:caps w:val="0"/>
          <w:color w:val="000000"/>
          <w:spacing w:val="0"/>
          <w:sz w:val="31"/>
          <w:szCs w:val="31"/>
          <w:shd w:val="clear" w:fill="FFFFFF"/>
          <w:lang w:eastAsia="zh-CN"/>
        </w:rPr>
      </w:pPr>
      <w:r>
        <w:rPr>
          <w:rFonts w:hint="eastAsia" w:ascii="仿宋_GB2312" w:eastAsia="仿宋_GB2312"/>
          <w:b/>
          <w:sz w:val="32"/>
          <w:szCs w:val="32"/>
          <w:lang w:val="en-US" w:eastAsia="zh-CN"/>
        </w:rPr>
        <w:t>2.</w:t>
      </w:r>
      <w:r>
        <w:rPr>
          <w:rFonts w:hint="eastAsia" w:ascii="仿宋_GB2312" w:hAnsi="楷体" w:eastAsia="仿宋_GB2312" w:cs="黑体"/>
          <w:bCs/>
          <w:sz w:val="32"/>
          <w:szCs w:val="32"/>
          <w:lang w:val="en-US" w:eastAsia="zh-CN"/>
        </w:rPr>
        <w:t>县科技馆</w:t>
      </w:r>
      <w:r>
        <w:rPr>
          <w:rFonts w:hint="eastAsia" w:ascii="仿宋_GB2312" w:hAnsi="楷体" w:eastAsia="仿宋_GB2312" w:cs="黑体"/>
          <w:bCs/>
          <w:sz w:val="32"/>
          <w:szCs w:val="32"/>
        </w:rPr>
        <w:t>干部职工因机构设置、编制、身份等因素的影响，人员流动较为频繁。</w:t>
      </w:r>
      <w:r>
        <w:rPr>
          <w:rFonts w:hint="eastAsia" w:ascii="仿宋_GB2312" w:eastAsia="仿宋_GB2312"/>
          <w:sz w:val="32"/>
          <w:szCs w:val="32"/>
        </w:rPr>
        <w:t>部分工作人员工作效率还不能完全满足新形势下科普工作的要求，</w:t>
      </w:r>
      <w:r>
        <w:rPr>
          <w:rFonts w:hint="eastAsia" w:ascii="仿宋_GB2312" w:hAnsi="楷体" w:eastAsia="仿宋_GB2312" w:cs="黑体"/>
          <w:bCs/>
          <w:sz w:val="32"/>
          <w:szCs w:val="32"/>
        </w:rPr>
        <w:t>工作的积极性和主动性亟待提升。</w:t>
      </w:r>
    </w:p>
    <w:p w14:paraId="6F4A5578">
      <w:pPr>
        <w:keepNext w:val="0"/>
        <w:keepLines w:val="0"/>
        <w:pageBreakBefore w:val="0"/>
        <w:shd w:val="clear" w:color="auto" w:fill="FFFFFF"/>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2.下一步改进措施：</w:t>
      </w:r>
      <w:r>
        <w:rPr>
          <w:rFonts w:hint="eastAsia" w:ascii="仿宋_GB2312" w:eastAsia="仿宋_GB2312"/>
          <w:b/>
          <w:sz w:val="32"/>
          <w:szCs w:val="32"/>
        </w:rPr>
        <w:t>一是着力加强队伍建设，努力提高展教工作水平</w:t>
      </w:r>
      <w:r>
        <w:rPr>
          <w:rFonts w:hint="eastAsia" w:ascii="仿宋_GB2312" w:hAnsi="仿宋" w:eastAsia="仿宋_GB2312"/>
          <w:b/>
          <w:sz w:val="32"/>
          <w:szCs w:val="32"/>
        </w:rPr>
        <w:t>。</w:t>
      </w:r>
      <w:r>
        <w:rPr>
          <w:rFonts w:hint="eastAsia" w:ascii="仿宋_GB2312" w:hAnsi="Verdana" w:eastAsia="仿宋_GB2312" w:cs="宋体"/>
          <w:sz w:val="32"/>
          <w:szCs w:val="32"/>
        </w:rPr>
        <w:t>通过组织干部职工外出观摩学习，继续开展干部轮流讲解、经典美文诵读赏析、干部讲坛等能力素质提升活动，选派讲解员外出参加技能大赛，鼓励干部职工积极参加业务进修，持续激发干部职工的工作积极性和创造力，打造一支政治坚定、理论扎实、业务精湛、纪律严明、作风正派、团结进取的高素质展教队伍，不断提高教育和展览水平。</w:t>
      </w:r>
      <w:r>
        <w:rPr>
          <w:rFonts w:hint="eastAsia" w:ascii="仿宋_GB2312" w:hAnsi="仿宋" w:eastAsia="仿宋_GB2312"/>
          <w:b/>
          <w:bCs/>
          <w:sz w:val="32"/>
          <w:szCs w:val="32"/>
        </w:rPr>
        <w:t>二是不断加大宣传推介力度，吸引社会公众慕名前来。</w:t>
      </w:r>
      <w:r>
        <w:rPr>
          <w:rFonts w:hint="eastAsia" w:ascii="仿宋_GB2312" w:eastAsia="仿宋_GB2312"/>
          <w:sz w:val="32"/>
          <w:szCs w:val="32"/>
        </w:rPr>
        <w:t>依托抖音、快手、视频号及各类重要节会和文化旅游体育活动，主动融入全县旅游开发建设，通过发放宣传资料、播放专题宣传片、开展研学旅行活动等多种方式，吸引社会公众慕名前来，树立场馆对外良好形象。</w:t>
      </w:r>
      <w:r>
        <w:rPr>
          <w:rFonts w:hint="eastAsia" w:ascii="仿宋_GB2312" w:hAnsi="仿宋" w:eastAsia="仿宋_GB2312"/>
          <w:b/>
          <w:bCs/>
          <w:sz w:val="32"/>
          <w:szCs w:val="32"/>
        </w:rPr>
        <w:t>三是丰富各类科普活动，切实提高科普工作水平。</w:t>
      </w:r>
      <w:r>
        <w:rPr>
          <w:rFonts w:hint="eastAsia" w:ascii="仿宋_GB2312" w:hAnsi="仿宋" w:eastAsia="仿宋_GB2312"/>
          <w:bCs/>
          <w:sz w:val="32"/>
          <w:szCs w:val="32"/>
        </w:rPr>
        <w:t>在现有科普活动的基础上，探索创新打造“彩虹课堂”品牌科普活动，优化活动方案，努力提高活动质量和效果，充分发挥科技馆作为科普阵地的重要作用。</w:t>
      </w:r>
      <w:r>
        <w:rPr>
          <w:rFonts w:hint="eastAsia" w:ascii="仿宋_GB2312" w:hAnsi="仿宋" w:eastAsia="仿宋_GB2312"/>
          <w:b/>
          <w:bCs/>
          <w:sz w:val="32"/>
          <w:szCs w:val="32"/>
        </w:rPr>
        <w:t>四是强化安全责任意识，确保场馆安全稳定运行。</w:t>
      </w:r>
      <w:r>
        <w:rPr>
          <w:rFonts w:hint="eastAsia" w:ascii="仿宋_GB2312" w:hAnsi="仿宋" w:eastAsia="仿宋_GB2312"/>
          <w:bCs/>
          <w:sz w:val="32"/>
          <w:szCs w:val="32"/>
        </w:rPr>
        <w:t>进一步规范安检操作流程，加装游客身份信息采集和识别系统，严禁违禁物品和危险人员进入场馆。加强安全隐患排查，强化人员安全技能培训，规范电梯安全运行管理，努力提高安全工作水平，确保场馆安全稳定运行。</w:t>
      </w:r>
      <w:r>
        <w:rPr>
          <w:rFonts w:hint="eastAsia" w:ascii="仿宋_GB2312" w:hAnsi="仿宋" w:eastAsia="仿宋_GB2312"/>
          <w:b/>
          <w:bCs/>
          <w:sz w:val="32"/>
          <w:szCs w:val="32"/>
        </w:rPr>
        <w:t>五是严格执行资金管理办法，</w:t>
      </w:r>
      <w:r>
        <w:rPr>
          <w:rFonts w:hint="eastAsia" w:ascii="仿宋_GB2312" w:hAnsi="仿宋_GB2312" w:eastAsia="仿宋_GB2312" w:cs="仿宋_GB2312"/>
          <w:b/>
          <w:sz w:val="32"/>
          <w:szCs w:val="32"/>
        </w:rPr>
        <w:t>稳步推进展品更新。</w:t>
      </w:r>
      <w:r>
        <w:rPr>
          <w:rFonts w:hint="eastAsia" w:ascii="仿宋_GB2312" w:eastAsia="仿宋_GB2312"/>
          <w:sz w:val="32"/>
          <w:szCs w:val="32"/>
        </w:rPr>
        <w:t>严格执行资金运行和管理的有关规定，确保各类资金监管使用到位、资金运行安全到位。逐步推进展品更新，推进场馆建设与时俱进，努力实现常来常新。</w:t>
      </w:r>
      <w:r>
        <w:rPr>
          <w:rFonts w:hint="eastAsia" w:ascii="仿宋_GB2312" w:eastAsia="仿宋_GB2312"/>
          <w:b/>
          <w:bCs/>
          <w:sz w:val="32"/>
          <w:szCs w:val="32"/>
          <w:lang w:eastAsia="zh-CN"/>
        </w:rPr>
        <w:t>六是严格执行绩效目标。</w:t>
      </w:r>
      <w:r>
        <w:rPr>
          <w:rFonts w:hint="eastAsia" w:ascii="仿宋_GB2312" w:eastAsia="仿宋_GB2312"/>
          <w:sz w:val="32"/>
          <w:szCs w:val="32"/>
          <w:lang w:eastAsia="zh-CN"/>
        </w:rPr>
        <w:t>有效发挥绩效目标考核导向和激励作用，提高项目经济效益、社会效益和可持续效益，确保社会公众满意度在95%以上。</w:t>
      </w:r>
      <w:r>
        <w:rPr>
          <w:rFonts w:hint="eastAsia" w:ascii="仿宋_GB2312" w:eastAsia="仿宋_GB2312"/>
          <w:b/>
          <w:bCs/>
          <w:sz w:val="32"/>
          <w:szCs w:val="32"/>
          <w:lang w:eastAsia="zh-CN"/>
        </w:rPr>
        <w:t>七是加强相关制度落实。</w:t>
      </w:r>
      <w:r>
        <w:rPr>
          <w:rFonts w:hint="eastAsia" w:ascii="仿宋_GB2312" w:eastAsia="仿宋_GB2312"/>
          <w:sz w:val="32"/>
          <w:szCs w:val="32"/>
          <w:lang w:eastAsia="zh-CN"/>
        </w:rPr>
        <w:t>提高对绩效管理工作重要性的认识，积极采取措施推动制度落实，使管理、检查措施制度化、常态化、科学化。</w:t>
      </w:r>
    </w:p>
    <w:p w14:paraId="19C2A2D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四、其他需说明的问题</w:t>
      </w:r>
    </w:p>
    <w:p w14:paraId="584EF908">
      <w:pPr>
        <w:keepNext w:val="0"/>
        <w:keepLines w:val="0"/>
        <w:pageBreakBefore w:val="0"/>
        <w:kinsoku/>
        <w:wordWrap/>
        <w:overflowPunct/>
        <w:topLinePunct w:val="0"/>
        <w:autoSpaceDE/>
        <w:autoSpaceDN/>
        <w:bidi w:val="0"/>
        <w:spacing w:line="560" w:lineRule="exact"/>
        <w:ind w:firstLine="1280" w:firstLineChars="4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14:paraId="1B61C77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p>
    <w:p w14:paraId="06FC419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p>
    <w:p w14:paraId="3B327C2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0B4C386">
      <w:pPr>
        <w:spacing w:after="93"/>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FAB51">
    <w:pPr>
      <w:pStyle w:val="15"/>
    </w:pPr>
    <w:r>
      <w:pict>
        <v:shape id="文本框1" o:spid="_x0000_s2049"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hEbTXtUBAAChAwAADgAAAAAAAAABACAAAAAf&#10;AQAAZHJzL2Uyb0RvYy54bWxQSwUGAAAAAAYABgBZAQAAZgUAAAAA&#10;">
          <v:path/>
          <v:fill on="f" focussize="0,0"/>
          <v:stroke on="f"/>
          <v:imagedata o:title=""/>
          <o:lock v:ext="edit" aspectratio="f"/>
          <v:textbox inset="0mm,0mm,0mm,0mm" style="mso-fit-shape-to-text:t;">
            <w:txbxContent>
              <w:p w14:paraId="1796330C">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6609">
    <w:pPr>
      <w:pStyle w:val="15"/>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3C84">
    <w:pPr>
      <w:pStyle w:val="15"/>
      <w:spacing w:after="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9257">
    <w:pPr>
      <w:pStyle w:val="15"/>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161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5A88">
    <w:pPr>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C6BD">
    <w:pPr>
      <w:pStyle w:val="16"/>
      <w:spacing w:after="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D9CE">
    <w:pPr>
      <w:pStyle w:val="16"/>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2"/>
      <w:suff w:val="nothing"/>
      <w:lvlText w:val="第4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5ODNhZGU5MjI3MzJiZmFlNTBhMGQyMzI2YmQ3OTMifQ=="/>
  </w:docVars>
  <w:rsids>
    <w:rsidRoot w:val="00535683"/>
    <w:rsid w:val="000044E9"/>
    <w:rsid w:val="00217548"/>
    <w:rsid w:val="00236210"/>
    <w:rsid w:val="00267B04"/>
    <w:rsid w:val="002F7BC7"/>
    <w:rsid w:val="00321F6D"/>
    <w:rsid w:val="00372C81"/>
    <w:rsid w:val="00535683"/>
    <w:rsid w:val="00570703"/>
    <w:rsid w:val="005B7978"/>
    <w:rsid w:val="005E557D"/>
    <w:rsid w:val="007858C9"/>
    <w:rsid w:val="009C43C5"/>
    <w:rsid w:val="00D61C4C"/>
    <w:rsid w:val="00DC71F6"/>
    <w:rsid w:val="00DE5E9D"/>
    <w:rsid w:val="00DF11F8"/>
    <w:rsid w:val="00E32B12"/>
    <w:rsid w:val="0280307E"/>
    <w:rsid w:val="077404AD"/>
    <w:rsid w:val="0D3F00C3"/>
    <w:rsid w:val="0F227143"/>
    <w:rsid w:val="11421791"/>
    <w:rsid w:val="12A12A75"/>
    <w:rsid w:val="15252D67"/>
    <w:rsid w:val="23610EDA"/>
    <w:rsid w:val="23A542EB"/>
    <w:rsid w:val="27280C17"/>
    <w:rsid w:val="2ED875C5"/>
    <w:rsid w:val="3AEE1932"/>
    <w:rsid w:val="3FE71217"/>
    <w:rsid w:val="486F26F2"/>
    <w:rsid w:val="48DC41C5"/>
    <w:rsid w:val="496C156E"/>
    <w:rsid w:val="498B355B"/>
    <w:rsid w:val="4F3B48ED"/>
    <w:rsid w:val="71EF202A"/>
    <w:rsid w:val="76070C95"/>
    <w:rsid w:val="763C15B6"/>
    <w:rsid w:val="79F51966"/>
    <w:rsid w:val="7B22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numPr>
        <w:ilvl w:val="0"/>
        <w:numId w:val="1"/>
      </w:numPr>
      <w:spacing w:before="340" w:afterLines="30" w:line="578" w:lineRule="auto"/>
      <w:outlineLvl w:val="0"/>
    </w:pPr>
    <w:rPr>
      <w:b/>
      <w:bCs/>
      <w:kern w:val="44"/>
      <w:sz w:val="44"/>
      <w:szCs w:val="44"/>
    </w:rPr>
  </w:style>
  <w:style w:type="paragraph" w:styleId="3">
    <w:name w:val="heading 2"/>
    <w:basedOn w:val="1"/>
    <w:next w:val="1"/>
    <w:link w:val="23"/>
    <w:autoRedefine/>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4">
    <w:name w:val="heading 3"/>
    <w:basedOn w:val="1"/>
    <w:next w:val="1"/>
    <w:link w:val="24"/>
    <w:qFormat/>
    <w:uiPriority w:val="0"/>
    <w:pPr>
      <w:keepNext/>
      <w:keepLines/>
      <w:numPr>
        <w:ilvl w:val="2"/>
        <w:numId w:val="1"/>
      </w:numPr>
      <w:spacing w:before="260" w:afterLines="30" w:line="416" w:lineRule="auto"/>
      <w:outlineLvl w:val="2"/>
    </w:pPr>
    <w:rPr>
      <w:b/>
      <w:bCs/>
      <w:sz w:val="32"/>
      <w:szCs w:val="32"/>
    </w:rPr>
  </w:style>
  <w:style w:type="paragraph" w:styleId="5">
    <w:name w:val="heading 4"/>
    <w:basedOn w:val="1"/>
    <w:next w:val="1"/>
    <w:link w:val="25"/>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6">
    <w:name w:val="heading 5"/>
    <w:basedOn w:val="1"/>
    <w:next w:val="1"/>
    <w:link w:val="26"/>
    <w:autoRedefine/>
    <w:qFormat/>
    <w:uiPriority w:val="0"/>
    <w:pPr>
      <w:keepNext/>
      <w:keepLines/>
      <w:numPr>
        <w:ilvl w:val="4"/>
        <w:numId w:val="1"/>
      </w:numPr>
      <w:spacing w:before="280" w:afterLines="30" w:line="376" w:lineRule="auto"/>
      <w:outlineLvl w:val="4"/>
    </w:pPr>
    <w:rPr>
      <w:b/>
      <w:bCs/>
      <w:sz w:val="28"/>
      <w:szCs w:val="28"/>
    </w:rPr>
  </w:style>
  <w:style w:type="paragraph" w:styleId="7">
    <w:name w:val="heading 6"/>
    <w:basedOn w:val="1"/>
    <w:next w:val="1"/>
    <w:link w:val="27"/>
    <w:autoRedefine/>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8">
    <w:name w:val="heading 7"/>
    <w:basedOn w:val="1"/>
    <w:next w:val="1"/>
    <w:link w:val="28"/>
    <w:autoRedefine/>
    <w:qFormat/>
    <w:uiPriority w:val="0"/>
    <w:pPr>
      <w:keepNext/>
      <w:keepLines/>
      <w:numPr>
        <w:ilvl w:val="6"/>
        <w:numId w:val="1"/>
      </w:numPr>
      <w:spacing w:before="240" w:afterLines="30" w:line="320" w:lineRule="auto"/>
      <w:outlineLvl w:val="6"/>
    </w:pPr>
    <w:rPr>
      <w:b/>
      <w:bCs/>
      <w:sz w:val="24"/>
    </w:rPr>
  </w:style>
  <w:style w:type="paragraph" w:styleId="9">
    <w:name w:val="heading 8"/>
    <w:basedOn w:val="1"/>
    <w:next w:val="1"/>
    <w:link w:val="29"/>
    <w:autoRedefine/>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0">
    <w:name w:val="heading 9"/>
    <w:basedOn w:val="1"/>
    <w:next w:val="1"/>
    <w:link w:val="30"/>
    <w:autoRedefine/>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index 6"/>
    <w:basedOn w:val="1"/>
    <w:next w:val="1"/>
    <w:autoRedefine/>
    <w:semiHidden/>
    <w:qFormat/>
    <w:uiPriority w:val="0"/>
  </w:style>
  <w:style w:type="paragraph" w:styleId="13">
    <w:name w:val="Body Text"/>
    <w:basedOn w:val="1"/>
    <w:next w:val="1"/>
    <w:link w:val="35"/>
    <w:autoRedefine/>
    <w:qFormat/>
    <w:uiPriority w:val="1"/>
    <w:pPr>
      <w:spacing w:before="30" w:afterLines="30" w:line="320" w:lineRule="exact"/>
    </w:pPr>
    <w:rPr>
      <w:rFonts w:ascii="宋体" w:hAnsi="宋体" w:cs="宋体"/>
      <w:sz w:val="24"/>
      <w:lang w:val="zh-CN" w:bidi="zh-CN"/>
    </w:rPr>
  </w:style>
  <w:style w:type="paragraph" w:styleId="14">
    <w:name w:val="Body Text Indent 2"/>
    <w:basedOn w:val="1"/>
    <w:next w:val="13"/>
    <w:qFormat/>
    <w:uiPriority w:val="0"/>
    <w:pPr>
      <w:spacing w:line="480" w:lineRule="auto"/>
      <w:ind w:left="420" w:leftChars="200"/>
    </w:pPr>
  </w:style>
  <w:style w:type="paragraph" w:styleId="15">
    <w:name w:val="footer"/>
    <w:basedOn w:val="1"/>
    <w:link w:val="34"/>
    <w:autoRedefine/>
    <w:qFormat/>
    <w:uiPriority w:val="0"/>
    <w:pPr>
      <w:tabs>
        <w:tab w:val="center" w:pos="4153"/>
        <w:tab w:val="right" w:pos="8306"/>
      </w:tabs>
      <w:snapToGrid w:val="0"/>
      <w:spacing w:before="30" w:afterLines="30" w:line="320" w:lineRule="exact"/>
      <w:jc w:val="left"/>
    </w:pPr>
    <w:rPr>
      <w:sz w:val="18"/>
      <w:szCs w:val="18"/>
    </w:rPr>
  </w:style>
  <w:style w:type="paragraph" w:styleId="16">
    <w:name w:val="header"/>
    <w:basedOn w:val="1"/>
    <w:link w:val="41"/>
    <w:autoRedefine/>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7">
    <w:name w:val="Normal (Web)"/>
    <w:basedOn w:val="1"/>
    <w:autoRedefine/>
    <w:semiHidden/>
    <w:unhideWhenUsed/>
    <w:qFormat/>
    <w:uiPriority w:val="0"/>
    <w:pPr>
      <w:spacing w:before="100" w:beforeAutospacing="1" w:after="100" w:afterAutospacing="1"/>
      <w:jc w:val="left"/>
    </w:pPr>
    <w:rPr>
      <w:kern w:val="0"/>
      <w:sz w:val="24"/>
    </w:rPr>
  </w:style>
  <w:style w:type="paragraph" w:styleId="18">
    <w:name w:val="Title"/>
    <w:basedOn w:val="1"/>
    <w:next w:val="1"/>
    <w:link w:val="36"/>
    <w:autoRedefine/>
    <w:qFormat/>
    <w:uiPriority w:val="0"/>
    <w:pPr>
      <w:spacing w:before="240" w:afterLines="30" w:line="320" w:lineRule="exact"/>
      <w:jc w:val="center"/>
      <w:outlineLvl w:val="0"/>
    </w:pPr>
    <w:rPr>
      <w:rFonts w:ascii="Cambria" w:hAnsi="Cambria"/>
      <w:b/>
      <w:bCs/>
      <w:sz w:val="32"/>
      <w:szCs w:val="32"/>
    </w:rPr>
  </w:style>
  <w:style w:type="character" w:styleId="21">
    <w:name w:val="Strong"/>
    <w:basedOn w:val="20"/>
    <w:qFormat/>
    <w:uiPriority w:val="0"/>
    <w:rPr>
      <w:b/>
      <w:bCs/>
    </w:rPr>
  </w:style>
  <w:style w:type="character" w:customStyle="1" w:styleId="22">
    <w:name w:val="标题 1 Char"/>
    <w:link w:val="2"/>
    <w:autoRedefine/>
    <w:qFormat/>
    <w:uiPriority w:val="0"/>
    <w:rPr>
      <w:b/>
      <w:bCs/>
      <w:kern w:val="44"/>
      <w:sz w:val="44"/>
      <w:szCs w:val="44"/>
    </w:rPr>
  </w:style>
  <w:style w:type="character" w:customStyle="1" w:styleId="23">
    <w:name w:val="标题 2 Char"/>
    <w:link w:val="3"/>
    <w:autoRedefine/>
    <w:qFormat/>
    <w:uiPriority w:val="0"/>
    <w:rPr>
      <w:rFonts w:ascii="Arial" w:hAnsi="Arial" w:eastAsia="黑体" w:cstheme="majorBidi"/>
      <w:b/>
      <w:bCs/>
      <w:kern w:val="2"/>
      <w:sz w:val="32"/>
      <w:szCs w:val="32"/>
    </w:rPr>
  </w:style>
  <w:style w:type="character" w:customStyle="1" w:styleId="24">
    <w:name w:val="标题 3 Char"/>
    <w:link w:val="4"/>
    <w:qFormat/>
    <w:uiPriority w:val="0"/>
    <w:rPr>
      <w:b/>
      <w:bCs/>
      <w:kern w:val="2"/>
      <w:sz w:val="32"/>
      <w:szCs w:val="32"/>
    </w:rPr>
  </w:style>
  <w:style w:type="character" w:customStyle="1" w:styleId="25">
    <w:name w:val="标题 4 Char"/>
    <w:link w:val="5"/>
    <w:autoRedefine/>
    <w:qFormat/>
    <w:uiPriority w:val="0"/>
    <w:rPr>
      <w:rFonts w:ascii="Arial" w:hAnsi="Arial" w:eastAsia="黑体" w:cstheme="majorBidi"/>
      <w:b/>
      <w:bCs/>
      <w:kern w:val="2"/>
      <w:sz w:val="28"/>
      <w:szCs w:val="28"/>
    </w:rPr>
  </w:style>
  <w:style w:type="character" w:customStyle="1" w:styleId="26">
    <w:name w:val="标题 5 Char"/>
    <w:link w:val="6"/>
    <w:autoRedefine/>
    <w:qFormat/>
    <w:uiPriority w:val="0"/>
    <w:rPr>
      <w:b/>
      <w:bCs/>
      <w:kern w:val="2"/>
      <w:sz w:val="28"/>
      <w:szCs w:val="28"/>
    </w:rPr>
  </w:style>
  <w:style w:type="character" w:customStyle="1" w:styleId="27">
    <w:name w:val="标题 6 Char"/>
    <w:link w:val="7"/>
    <w:qFormat/>
    <w:uiPriority w:val="0"/>
    <w:rPr>
      <w:rFonts w:ascii="Arial" w:hAnsi="Arial" w:eastAsia="黑体" w:cstheme="majorBidi"/>
      <w:b/>
      <w:bCs/>
      <w:kern w:val="2"/>
      <w:sz w:val="24"/>
      <w:szCs w:val="24"/>
    </w:rPr>
  </w:style>
  <w:style w:type="character" w:customStyle="1" w:styleId="28">
    <w:name w:val="标题 7 Char"/>
    <w:link w:val="8"/>
    <w:autoRedefine/>
    <w:qFormat/>
    <w:uiPriority w:val="0"/>
    <w:rPr>
      <w:b/>
      <w:bCs/>
      <w:kern w:val="2"/>
      <w:sz w:val="24"/>
      <w:szCs w:val="24"/>
    </w:rPr>
  </w:style>
  <w:style w:type="character" w:customStyle="1" w:styleId="29">
    <w:name w:val="标题 8 Char"/>
    <w:link w:val="9"/>
    <w:autoRedefine/>
    <w:qFormat/>
    <w:uiPriority w:val="0"/>
    <w:rPr>
      <w:rFonts w:ascii="Arial" w:hAnsi="Arial" w:eastAsia="黑体" w:cstheme="majorBidi"/>
      <w:kern w:val="2"/>
      <w:sz w:val="24"/>
      <w:szCs w:val="24"/>
    </w:rPr>
  </w:style>
  <w:style w:type="character" w:customStyle="1" w:styleId="30">
    <w:name w:val="标题 9 Char"/>
    <w:link w:val="10"/>
    <w:qFormat/>
    <w:uiPriority w:val="0"/>
    <w:rPr>
      <w:rFonts w:ascii="Arial" w:hAnsi="Arial" w:eastAsia="黑体" w:cstheme="majorBidi"/>
      <w:kern w:val="2"/>
      <w:sz w:val="21"/>
      <w:szCs w:val="21"/>
    </w:rPr>
  </w:style>
  <w:style w:type="paragraph" w:styleId="31">
    <w:name w:val="No Spacing"/>
    <w:link w:val="32"/>
    <w:autoRedefine/>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32">
    <w:name w:val="无间隔 Char"/>
    <w:basedOn w:val="20"/>
    <w:link w:val="31"/>
    <w:qFormat/>
    <w:uiPriority w:val="1"/>
    <w:rPr>
      <w:kern w:val="2"/>
      <w:sz w:val="21"/>
      <w:szCs w:val="24"/>
    </w:rPr>
  </w:style>
  <w:style w:type="paragraph" w:styleId="33">
    <w:name w:val="List Paragraph"/>
    <w:basedOn w:val="1"/>
    <w:qFormat/>
    <w:uiPriority w:val="34"/>
    <w:pPr>
      <w:spacing w:before="30" w:afterLines="30" w:line="320" w:lineRule="exact"/>
      <w:ind w:firstLine="420" w:firstLineChars="200"/>
    </w:pPr>
  </w:style>
  <w:style w:type="character" w:customStyle="1" w:styleId="34">
    <w:name w:val="页脚 Char"/>
    <w:basedOn w:val="20"/>
    <w:link w:val="15"/>
    <w:qFormat/>
    <w:uiPriority w:val="0"/>
    <w:rPr>
      <w:kern w:val="2"/>
      <w:sz w:val="18"/>
      <w:szCs w:val="18"/>
    </w:rPr>
  </w:style>
  <w:style w:type="character" w:customStyle="1" w:styleId="35">
    <w:name w:val="正文文本 Char"/>
    <w:basedOn w:val="20"/>
    <w:link w:val="13"/>
    <w:qFormat/>
    <w:uiPriority w:val="1"/>
    <w:rPr>
      <w:rFonts w:ascii="宋体" w:hAnsi="宋体" w:cs="宋体"/>
      <w:kern w:val="2"/>
      <w:sz w:val="24"/>
      <w:szCs w:val="24"/>
      <w:lang w:val="zh-CN" w:bidi="zh-CN"/>
    </w:rPr>
  </w:style>
  <w:style w:type="character" w:customStyle="1" w:styleId="36">
    <w:name w:val="标题 Char"/>
    <w:link w:val="18"/>
    <w:qFormat/>
    <w:uiPriority w:val="0"/>
    <w:rPr>
      <w:rFonts w:ascii="Cambria" w:hAnsi="Cambria" w:cs="Times New Roman"/>
      <w:b/>
      <w:bCs/>
      <w:kern w:val="2"/>
      <w:sz w:val="32"/>
      <w:szCs w:val="32"/>
    </w:rPr>
  </w:style>
  <w:style w:type="paragraph" w:customStyle="1" w:styleId="37">
    <w:name w:val="正文(塘坝)齐波波"/>
    <w:link w:val="38"/>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8">
    <w:name w:val="正文(塘坝)齐波波 Char"/>
    <w:link w:val="37"/>
    <w:qFormat/>
    <w:uiPriority w:val="0"/>
    <w:rPr>
      <w:rFonts w:ascii="宋体" w:hAnsi="宋体" w:cs="宋体"/>
      <w:snapToGrid w:val="0"/>
      <w:color w:val="00FF00"/>
      <w:kern w:val="2"/>
      <w:sz w:val="24"/>
      <w:szCs w:val="30"/>
      <w:lang w:val="zh-CN"/>
    </w:rPr>
  </w:style>
  <w:style w:type="paragraph" w:customStyle="1" w:styleId="39">
    <w:name w:val="表格五号"/>
    <w:basedOn w:val="1"/>
    <w:next w:val="1"/>
    <w:link w:val="40"/>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40">
    <w:name w:val="表格五号 Char"/>
    <w:link w:val="39"/>
    <w:qFormat/>
    <w:uiPriority w:val="0"/>
    <w:rPr>
      <w:rFonts w:ascii="宋体" w:hAnsi="宋体"/>
      <w:color w:val="800080"/>
      <w:szCs w:val="21"/>
    </w:rPr>
  </w:style>
  <w:style w:type="character" w:customStyle="1" w:styleId="41">
    <w:name w:val="页眉 Char"/>
    <w:basedOn w:val="20"/>
    <w:link w:val="16"/>
    <w:semiHidden/>
    <w:qFormat/>
    <w:uiPriority w:val="99"/>
    <w:rPr>
      <w:kern w:val="2"/>
      <w:sz w:val="18"/>
      <w:szCs w:val="18"/>
    </w:rPr>
  </w:style>
  <w:style w:type="paragraph" w:customStyle="1" w:styleId="42">
    <w:name w:val="办公自动化专用标题"/>
    <w:basedOn w:val="18"/>
    <w:autoRedefine/>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5693</Words>
  <Characters>5838</Characters>
  <Lines>2</Lines>
  <Paragraphs>1</Paragraphs>
  <TotalTime>0</TotalTime>
  <ScaleCrop>false</ScaleCrop>
  <LinksUpToDate>false</LinksUpToDate>
  <CharactersWithSpaces>5896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WPS_1605597749</cp:lastModifiedBy>
  <cp:lastPrinted>2024-01-09T07:31:00Z</cp:lastPrinted>
  <dcterms:modified xsi:type="dcterms:W3CDTF">2024-09-25T07:55:06Z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092864765F6046A782E2F2033338120A</vt:lpwstr>
  </property>
</Properties>
</file>