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eastAsia="方正小标宋简体"/>
          <w:w w:val="90"/>
          <w:sz w:val="44"/>
          <w:szCs w:val="44"/>
        </w:rPr>
      </w:pPr>
      <w:r>
        <w:rPr>
          <w:rFonts w:hint="eastAsia" w:ascii="方正小标宋简体" w:eastAsia="方正小标宋简体"/>
          <w:w w:val="90"/>
          <w:sz w:val="44"/>
          <w:szCs w:val="44"/>
          <w:lang w:eastAsia="zh-CN"/>
        </w:rPr>
        <w:t>临泽县</w:t>
      </w:r>
      <w:r>
        <w:rPr>
          <w:rFonts w:hint="eastAsia" w:ascii="方正小标宋简体" w:eastAsia="方正小标宋简体"/>
          <w:w w:val="90"/>
          <w:sz w:val="44"/>
          <w:szCs w:val="44"/>
          <w:lang w:val="en-US" w:eastAsia="zh-CN"/>
        </w:rPr>
        <w:t>2023</w:t>
      </w:r>
      <w:r>
        <w:rPr>
          <w:rFonts w:ascii="方正小标宋简体" w:eastAsia="方正小标宋简体"/>
          <w:w w:val="90"/>
          <w:sz w:val="44"/>
          <w:szCs w:val="44"/>
        </w:rPr>
        <w:t>年</w:t>
      </w:r>
      <w:r>
        <w:rPr>
          <w:rFonts w:hint="eastAsia" w:ascii="方正小标宋简体" w:eastAsia="方正小标宋简体"/>
          <w:w w:val="90"/>
          <w:sz w:val="44"/>
          <w:szCs w:val="44"/>
          <w:lang w:val="en-US" w:eastAsia="zh-CN"/>
        </w:rPr>
        <w:t>水利救灾资金</w:t>
      </w:r>
      <w:r>
        <w:rPr>
          <w:rFonts w:ascii="方正小标宋简体" w:eastAsia="方正小标宋简体"/>
          <w:w w:val="90"/>
          <w:sz w:val="44"/>
          <w:szCs w:val="44"/>
        </w:rPr>
        <w:t>绩效自评总结</w:t>
      </w:r>
    </w:p>
    <w:p>
      <w:pPr>
        <w:spacing w:line="360" w:lineRule="auto"/>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临泽县小型水利建设项目北部沿山地带</w:t>
      </w:r>
    </w:p>
    <w:p>
      <w:pPr>
        <w:spacing w:line="360" w:lineRule="auto"/>
        <w:jc w:val="center"/>
        <w:rPr>
          <w:rFonts w:hint="eastAsia" w:ascii="仿宋_GB2312" w:eastAsia="仿宋_GB2312"/>
          <w:sz w:val="32"/>
          <w:szCs w:val="32"/>
        </w:rPr>
      </w:pPr>
      <w:r>
        <w:rPr>
          <w:rFonts w:hint="eastAsia" w:ascii="仿宋_GB2312" w:eastAsia="仿宋_GB2312"/>
          <w:sz w:val="32"/>
          <w:szCs w:val="32"/>
          <w:lang w:val="en-US" w:eastAsia="zh-CN"/>
        </w:rPr>
        <w:t>山洪沟道水毁应急</w:t>
      </w:r>
      <w:bookmarkStart w:id="0" w:name="_GoBack"/>
      <w:bookmarkEnd w:id="0"/>
      <w:r>
        <w:rPr>
          <w:rFonts w:hint="eastAsia" w:ascii="仿宋_GB2312" w:eastAsia="仿宋_GB2312"/>
          <w:sz w:val="32"/>
          <w:szCs w:val="32"/>
          <w:lang w:val="en-US" w:eastAsia="zh-CN"/>
        </w:rPr>
        <w:t>修复工程</w:t>
      </w:r>
    </w:p>
    <w:p>
      <w:pPr>
        <w:spacing w:line="360" w:lineRule="auto"/>
        <w:jc w:val="center"/>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rPr>
        <w:t>根据《甘肃省财政厅关于下达202</w:t>
      </w:r>
      <w:r>
        <w:rPr>
          <w:rFonts w:hint="eastAsia" w:ascii="仿宋_GB2312" w:eastAsia="仿宋_GB2312"/>
          <w:sz w:val="32"/>
          <w:szCs w:val="32"/>
          <w:lang w:val="en-US" w:eastAsia="zh-CN"/>
        </w:rPr>
        <w:t>2</w:t>
      </w:r>
      <w:r>
        <w:rPr>
          <w:rFonts w:hint="eastAsia" w:ascii="仿宋_GB2312" w:eastAsia="仿宋_GB2312"/>
          <w:sz w:val="32"/>
          <w:szCs w:val="32"/>
        </w:rPr>
        <w:t>年中央</w:t>
      </w:r>
      <w:r>
        <w:rPr>
          <w:rFonts w:hint="eastAsia" w:ascii="仿宋_GB2312" w:eastAsia="仿宋_GB2312"/>
          <w:sz w:val="32"/>
          <w:szCs w:val="32"/>
          <w:lang w:val="en-US" w:eastAsia="zh-CN"/>
        </w:rPr>
        <w:t>农业生产和水利救灾</w:t>
      </w:r>
      <w:r>
        <w:rPr>
          <w:rFonts w:hint="eastAsia" w:ascii="仿宋_GB2312" w:eastAsia="仿宋_GB2312"/>
          <w:sz w:val="32"/>
          <w:szCs w:val="32"/>
        </w:rPr>
        <w:t>资金预算的通知》（甘财农〔202</w:t>
      </w:r>
      <w:r>
        <w:rPr>
          <w:rFonts w:hint="eastAsia" w:ascii="仿宋_GB2312" w:eastAsia="仿宋_GB2312"/>
          <w:sz w:val="32"/>
          <w:szCs w:val="32"/>
          <w:lang w:val="en-US" w:eastAsia="zh-CN"/>
        </w:rPr>
        <w:t>2</w:t>
      </w:r>
      <w:r>
        <w:rPr>
          <w:rFonts w:hint="eastAsia" w:ascii="仿宋_GB2312" w:eastAsia="仿宋_GB2312"/>
          <w:sz w:val="32"/>
          <w:szCs w:val="32"/>
        </w:rPr>
        <w:t>〕</w:t>
      </w:r>
      <w:r>
        <w:rPr>
          <w:rFonts w:hint="eastAsia" w:ascii="仿宋_GB2312" w:eastAsia="仿宋_GB2312"/>
          <w:sz w:val="32"/>
          <w:szCs w:val="32"/>
          <w:lang w:val="en-US" w:eastAsia="zh-CN"/>
        </w:rPr>
        <w:t>118</w:t>
      </w:r>
      <w:r>
        <w:rPr>
          <w:rFonts w:hint="eastAsia" w:ascii="仿宋_GB2312" w:eastAsia="仿宋_GB2312"/>
          <w:sz w:val="32"/>
          <w:szCs w:val="32"/>
        </w:rPr>
        <w:t>号）</w:t>
      </w:r>
      <w:r>
        <w:rPr>
          <w:rFonts w:hint="eastAsia" w:ascii="仿宋_GB2312" w:eastAsia="仿宋_GB2312"/>
          <w:sz w:val="32"/>
          <w:szCs w:val="32"/>
          <w:lang w:eastAsia="zh-CN"/>
        </w:rPr>
        <w:t>下达</w:t>
      </w:r>
      <w:r>
        <w:rPr>
          <w:rFonts w:hint="eastAsia" w:ascii="仿宋_GB2312" w:eastAsia="仿宋_GB2312"/>
          <w:sz w:val="32"/>
          <w:szCs w:val="32"/>
        </w:rPr>
        <w:t>我县中央</w:t>
      </w:r>
      <w:r>
        <w:rPr>
          <w:rFonts w:hint="eastAsia" w:ascii="仿宋_GB2312" w:eastAsia="仿宋_GB2312"/>
          <w:sz w:val="32"/>
          <w:szCs w:val="32"/>
          <w:lang w:val="en-US" w:eastAsia="zh-CN"/>
        </w:rPr>
        <w:t>水利救灾</w:t>
      </w:r>
      <w:r>
        <w:rPr>
          <w:rFonts w:hint="eastAsia" w:ascii="仿宋_GB2312" w:eastAsia="仿宋_GB2312"/>
          <w:sz w:val="32"/>
          <w:szCs w:val="32"/>
        </w:rPr>
        <w:t>资金</w:t>
      </w:r>
      <w:r>
        <w:rPr>
          <w:rFonts w:hint="eastAsia" w:ascii="仿宋_GB2312" w:eastAsia="仿宋_GB2312"/>
          <w:sz w:val="32"/>
          <w:szCs w:val="32"/>
          <w:lang w:val="en-US" w:eastAsia="zh-CN"/>
        </w:rPr>
        <w:t>200</w:t>
      </w:r>
      <w:r>
        <w:rPr>
          <w:rFonts w:hint="eastAsia" w:ascii="仿宋_GB2312" w:eastAsia="仿宋_GB2312"/>
          <w:sz w:val="32"/>
          <w:szCs w:val="32"/>
        </w:rPr>
        <w:t>万元，其中</w:t>
      </w:r>
      <w:r>
        <w:rPr>
          <w:rFonts w:hint="eastAsia" w:ascii="仿宋_GB2312" w:eastAsia="仿宋_GB2312"/>
          <w:sz w:val="32"/>
          <w:szCs w:val="32"/>
          <w:lang w:eastAsia="zh-CN"/>
        </w:rPr>
        <w:t>用于</w:t>
      </w:r>
      <w:r>
        <w:rPr>
          <w:rFonts w:hint="eastAsia" w:ascii="仿宋_GB2312" w:eastAsia="仿宋_GB2312"/>
          <w:sz w:val="32"/>
          <w:szCs w:val="32"/>
          <w:lang w:val="en-US" w:eastAsia="zh-CN"/>
        </w:rPr>
        <w:t>北部沿山地带山洪沟道水毁应急修复</w:t>
      </w:r>
      <w:r>
        <w:rPr>
          <w:rFonts w:hint="eastAsia" w:ascii="仿宋_GB2312" w:eastAsia="仿宋_GB2312"/>
          <w:sz w:val="32"/>
          <w:szCs w:val="32"/>
        </w:rPr>
        <w:t>资金</w:t>
      </w:r>
      <w:r>
        <w:rPr>
          <w:rFonts w:hint="eastAsia" w:ascii="仿宋_GB2312" w:eastAsia="仿宋_GB2312"/>
          <w:sz w:val="32"/>
          <w:szCs w:val="32"/>
          <w:lang w:val="en-US" w:eastAsia="zh-CN"/>
        </w:rPr>
        <w:t>200</w:t>
      </w:r>
      <w:r>
        <w:rPr>
          <w:rFonts w:hint="eastAsia" w:ascii="仿宋_GB2312" w:eastAsia="仿宋_GB2312"/>
          <w:sz w:val="32"/>
          <w:szCs w:val="32"/>
        </w:rPr>
        <w:t>万元</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sz w:val="32"/>
          <w:szCs w:val="32"/>
          <w:lang w:val="en-US" w:eastAsia="zh-CN"/>
        </w:rPr>
      </w:pPr>
      <w:r>
        <w:rPr>
          <w:rFonts w:hint="eastAsia" w:ascii="黑体" w:hAnsi="黑体" w:eastAsia="黑体" w:cs="黑体"/>
          <w:bCs/>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资金投入情况分析</w:t>
      </w:r>
    </w:p>
    <w:p>
      <w:pPr>
        <w:pStyle w:val="2"/>
        <w:keepNext w:val="0"/>
        <w:keepLines w:val="0"/>
        <w:pageBreakBefore w:val="0"/>
        <w:widowControl w:val="0"/>
        <w:kinsoku/>
        <w:wordWrap/>
        <w:overflowPunct/>
        <w:topLinePunct w:val="0"/>
        <w:autoSpaceDE/>
        <w:autoSpaceDN/>
        <w:bidi w:val="0"/>
        <w:adjustRightInd/>
        <w:snapToGrid/>
        <w:spacing w:before="0" w:afterLines="0" w:line="600" w:lineRule="exact"/>
        <w:ind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hAnsi="Times New Roman" w:eastAsia="仿宋_GB2312" w:cs="Times New Roman"/>
          <w:kern w:val="2"/>
          <w:sz w:val="32"/>
          <w:szCs w:val="24"/>
          <w:lang w:val="en-US" w:eastAsia="zh-CN" w:bidi="ar-SA"/>
        </w:rPr>
        <w:t>1、资金投入情况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临泽县小型水利建设项目北部沿山地带山洪沟道水毁应急修复工程</w:t>
      </w:r>
      <w:r>
        <w:rPr>
          <w:rFonts w:hint="eastAsia" w:ascii="仿宋_GB2312" w:hAnsi="Times New Roman" w:eastAsia="仿宋_GB2312" w:cs="Times New Roman"/>
          <w:kern w:val="2"/>
          <w:sz w:val="32"/>
          <w:szCs w:val="32"/>
          <w:lang w:val="en-US" w:eastAsia="zh-CN" w:bidi="ar-SA"/>
        </w:rPr>
        <w:t>2022年度</w:t>
      </w:r>
      <w:r>
        <w:rPr>
          <w:rFonts w:hint="eastAsia" w:ascii="仿宋_GB2312" w:eastAsia="仿宋_GB2312" w:cs="Times New Roman"/>
          <w:kern w:val="2"/>
          <w:sz w:val="32"/>
          <w:szCs w:val="32"/>
          <w:lang w:val="en-US" w:eastAsia="zh-CN" w:bidi="ar-SA"/>
        </w:rPr>
        <w:t>下达</w:t>
      </w:r>
      <w:r>
        <w:rPr>
          <w:rFonts w:hint="eastAsia" w:ascii="仿宋_GB2312" w:hAnsi="Times New Roman" w:eastAsia="仿宋_GB2312" w:cs="Times New Roman"/>
          <w:kern w:val="2"/>
          <w:sz w:val="32"/>
          <w:szCs w:val="32"/>
          <w:lang w:val="en-US" w:eastAsia="zh-CN" w:bidi="ar-SA"/>
        </w:rPr>
        <w:t>资金</w:t>
      </w:r>
      <w:r>
        <w:rPr>
          <w:rFonts w:hint="eastAsia" w:ascii="仿宋_GB2312" w:eastAsia="仿宋_GB2312" w:cs="Times New Roman"/>
          <w:kern w:val="2"/>
          <w:sz w:val="32"/>
          <w:szCs w:val="32"/>
          <w:lang w:val="en-US" w:eastAsia="zh-CN" w:bidi="ar-SA"/>
        </w:rPr>
        <w:t>200</w:t>
      </w:r>
      <w:r>
        <w:rPr>
          <w:rFonts w:hint="eastAsia" w:ascii="仿宋_GB2312" w:hAnsi="Times New Roman" w:eastAsia="仿宋_GB2312" w:cs="Times New Roman"/>
          <w:kern w:val="2"/>
          <w:sz w:val="32"/>
          <w:szCs w:val="32"/>
          <w:lang w:val="en-US" w:eastAsia="zh-CN" w:bidi="ar-SA"/>
        </w:rPr>
        <w:t>万元，其中：中央资金</w:t>
      </w:r>
      <w:r>
        <w:rPr>
          <w:rFonts w:hint="eastAsia" w:ascii="仿宋_GB2312" w:eastAsia="仿宋_GB2312" w:cs="Times New Roman"/>
          <w:kern w:val="2"/>
          <w:sz w:val="32"/>
          <w:szCs w:val="32"/>
          <w:lang w:val="en-US" w:eastAsia="zh-CN" w:bidi="ar-SA"/>
        </w:rPr>
        <w:t>200</w:t>
      </w:r>
      <w:r>
        <w:rPr>
          <w:rFonts w:hint="eastAsia" w:ascii="仿宋_GB2312" w:hAnsi="Times New Roman" w:eastAsia="仿宋_GB2312" w:cs="Times New Roman"/>
          <w:kern w:val="2"/>
          <w:sz w:val="32"/>
          <w:szCs w:val="32"/>
          <w:lang w:val="en-US" w:eastAsia="zh-CN" w:bidi="ar-SA"/>
        </w:rPr>
        <w:t>万元。</w:t>
      </w:r>
      <w:r>
        <w:rPr>
          <w:rFonts w:hint="eastAsia" w:ascii="仿宋_GB2312" w:hAnsi="Times New Roman" w:eastAsia="仿宋_GB2312" w:cs="Times New Roman"/>
          <w:kern w:val="2"/>
          <w:sz w:val="32"/>
          <w:lang w:val="en-US" w:eastAsia="zh-CN"/>
        </w:rPr>
        <w:t>实际</w:t>
      </w:r>
      <w:r>
        <w:rPr>
          <w:rFonts w:hint="eastAsia" w:ascii="仿宋_GB2312" w:eastAsia="仿宋_GB2312" w:cs="Times New Roman"/>
          <w:kern w:val="2"/>
          <w:sz w:val="32"/>
          <w:lang w:val="en-US" w:eastAsia="zh-CN"/>
        </w:rPr>
        <w:t>投入</w:t>
      </w:r>
      <w:r>
        <w:rPr>
          <w:rFonts w:hint="eastAsia" w:ascii="仿宋_GB2312" w:hAnsi="Times New Roman" w:eastAsia="仿宋_GB2312" w:cs="Times New Roman"/>
          <w:kern w:val="2"/>
          <w:sz w:val="32"/>
          <w:lang w:val="en-US" w:eastAsia="zh-CN"/>
        </w:rPr>
        <w:t>资金</w:t>
      </w:r>
      <w:r>
        <w:rPr>
          <w:rFonts w:hint="eastAsia" w:ascii="仿宋_GB2312" w:cs="Times New Roman"/>
          <w:kern w:val="2"/>
          <w:sz w:val="32"/>
          <w:lang w:val="en-US" w:eastAsia="zh-CN"/>
        </w:rPr>
        <w:t>200</w:t>
      </w:r>
      <w:r>
        <w:rPr>
          <w:rFonts w:hint="eastAsia" w:ascii="仿宋_GB2312" w:hAnsi="Times New Roman" w:eastAsia="仿宋_GB2312" w:cs="Times New Roman"/>
          <w:kern w:val="2"/>
          <w:sz w:val="32"/>
          <w:lang w:val="en-US" w:eastAsia="zh-CN"/>
        </w:rPr>
        <w:t>万元，财政资金到位率100%，中央资金到位及时。共完成中央水利</w:t>
      </w:r>
      <w:r>
        <w:rPr>
          <w:rFonts w:hint="eastAsia" w:ascii="仿宋_GB2312" w:eastAsia="仿宋_GB2312" w:cs="Times New Roman"/>
          <w:kern w:val="2"/>
          <w:sz w:val="32"/>
          <w:lang w:val="en-US" w:eastAsia="zh-CN"/>
        </w:rPr>
        <w:t>救灾</w:t>
      </w:r>
      <w:r>
        <w:rPr>
          <w:rFonts w:hint="eastAsia" w:ascii="仿宋_GB2312" w:hAnsi="Times New Roman" w:eastAsia="仿宋_GB2312" w:cs="Times New Roman"/>
          <w:kern w:val="2"/>
          <w:sz w:val="32"/>
          <w:lang w:val="en-US" w:eastAsia="zh-CN"/>
        </w:rPr>
        <w:t>资金</w:t>
      </w:r>
      <w:r>
        <w:rPr>
          <w:rFonts w:hint="eastAsia" w:ascii="仿宋_GB2312" w:cs="Times New Roman"/>
          <w:kern w:val="2"/>
          <w:sz w:val="32"/>
          <w:lang w:val="en-US" w:eastAsia="zh-CN"/>
        </w:rPr>
        <w:t>200</w:t>
      </w:r>
      <w:r>
        <w:rPr>
          <w:rFonts w:hint="eastAsia" w:ascii="仿宋_GB2312" w:hAnsi="Times New Roman" w:eastAsia="仿宋_GB2312" w:cs="Times New Roman"/>
          <w:kern w:val="2"/>
          <w:sz w:val="32"/>
          <w:lang w:val="en-US" w:eastAsia="zh-CN"/>
        </w:rPr>
        <w:t>万元。</w:t>
      </w:r>
    </w:p>
    <w:p>
      <w:pPr>
        <w:pStyle w:val="2"/>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lang w:val="en-US" w:eastAsia="zh-CN"/>
        </w:rPr>
      </w:pPr>
      <w:r>
        <w:rPr>
          <w:rFonts w:hint="eastAsia" w:ascii="仿宋_GB2312" w:hAnsi="Times New Roman" w:eastAsia="仿宋_GB2312" w:cs="Times New Roman"/>
          <w:sz w:val="32"/>
          <w:szCs w:val="32"/>
        </w:rPr>
        <w:t>20</w:t>
      </w:r>
      <w:r>
        <w:rPr>
          <w:rFonts w:hint="eastAsia" w:ascii="仿宋_GB2312" w:hAnsi="Times New Roman" w:eastAsia="仿宋_GB2312" w:cs="Times New Roman"/>
          <w:sz w:val="32"/>
          <w:szCs w:val="32"/>
          <w:lang w:val="en-US" w:eastAsia="zh-CN"/>
        </w:rPr>
        <w:t>23</w:t>
      </w:r>
      <w:r>
        <w:rPr>
          <w:rFonts w:hint="eastAsia" w:ascii="仿宋_GB2312" w:hAnsi="Times New Roman" w:eastAsia="仿宋_GB2312" w:cs="Times New Roman"/>
          <w:sz w:val="32"/>
          <w:szCs w:val="32"/>
        </w:rPr>
        <w:t>年度水利</w:t>
      </w:r>
      <w:r>
        <w:rPr>
          <w:rFonts w:hint="eastAsia" w:ascii="仿宋_GB2312" w:hAnsi="Times New Roman" w:eastAsia="仿宋_GB2312" w:cs="Times New Roman"/>
          <w:sz w:val="32"/>
          <w:szCs w:val="32"/>
          <w:lang w:val="en-US" w:eastAsia="zh-CN"/>
        </w:rPr>
        <w:t>救灾</w:t>
      </w:r>
      <w:r>
        <w:rPr>
          <w:rFonts w:hint="eastAsia" w:ascii="仿宋_GB2312" w:hAnsi="Times New Roman" w:eastAsia="仿宋_GB2312" w:cs="Times New Roman"/>
          <w:sz w:val="32"/>
          <w:szCs w:val="32"/>
        </w:rPr>
        <w:t>资金到位情况表</w:t>
      </w:r>
    </w:p>
    <w:tbl>
      <w:tblPr>
        <w:tblStyle w:val="15"/>
        <w:tblW w:w="8630" w:type="dxa"/>
        <w:tblInd w:w="-74" w:type="dxa"/>
        <w:tblLayout w:type="fixed"/>
        <w:tblCellMar>
          <w:top w:w="0" w:type="dxa"/>
          <w:left w:w="51" w:type="dxa"/>
          <w:bottom w:w="0" w:type="dxa"/>
          <w:right w:w="51" w:type="dxa"/>
        </w:tblCellMar>
      </w:tblPr>
      <w:tblGrid>
        <w:gridCol w:w="2310"/>
        <w:gridCol w:w="663"/>
        <w:gridCol w:w="698"/>
        <w:gridCol w:w="821"/>
        <w:gridCol w:w="734"/>
        <w:gridCol w:w="711"/>
        <w:gridCol w:w="851"/>
        <w:gridCol w:w="848"/>
        <w:gridCol w:w="994"/>
      </w:tblGrid>
      <w:tr>
        <w:tblPrEx>
          <w:tblCellMar>
            <w:top w:w="0" w:type="dxa"/>
            <w:left w:w="51" w:type="dxa"/>
            <w:bottom w:w="0" w:type="dxa"/>
            <w:right w:w="51" w:type="dxa"/>
          </w:tblCellMar>
        </w:tblPrEx>
        <w:trPr>
          <w:trHeight w:val="335" w:hRule="atLeast"/>
          <w:tblHeader/>
        </w:trPr>
        <w:tc>
          <w:tcPr>
            <w:tcW w:w="2310" w:type="dxa"/>
            <w:vMerge w:val="restart"/>
            <w:tcBorders>
              <w:top w:val="single" w:color="auto" w:sz="4" w:space="0"/>
              <w:left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分类</w:t>
            </w:r>
          </w:p>
        </w:tc>
        <w:tc>
          <w:tcPr>
            <w:tcW w:w="663" w:type="dxa"/>
            <w:vMerge w:val="restart"/>
            <w:tcBorders>
              <w:top w:val="single" w:color="auto" w:sz="4" w:space="0"/>
              <w:left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批复预算数（万元）</w:t>
            </w:r>
          </w:p>
        </w:tc>
        <w:tc>
          <w:tcPr>
            <w:tcW w:w="5657" w:type="dxa"/>
            <w:gridSpan w:val="7"/>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r>
      <w:tr>
        <w:tblPrEx>
          <w:tblCellMar>
            <w:top w:w="0" w:type="dxa"/>
            <w:left w:w="51" w:type="dxa"/>
            <w:bottom w:w="0" w:type="dxa"/>
            <w:right w:w="51" w:type="dxa"/>
          </w:tblCellMar>
        </w:tblPrEx>
        <w:trPr>
          <w:trHeight w:val="341" w:hRule="atLeast"/>
          <w:tblHeader/>
        </w:trPr>
        <w:tc>
          <w:tcPr>
            <w:tcW w:w="2310" w:type="dxa"/>
            <w:vMerge w:val="continue"/>
            <w:tcBorders>
              <w:left w:val="single" w:color="auto" w:sz="4" w:space="0"/>
              <w:right w:val="single" w:color="auto" w:sz="4" w:space="0"/>
            </w:tcBorders>
            <w:noWrap w:val="0"/>
            <w:vAlign w:val="center"/>
          </w:tcPr>
          <w:p>
            <w:pPr>
              <w:spacing w:line="260" w:lineRule="exact"/>
              <w:ind w:firstLine="0" w:firstLineChars="0"/>
              <w:jc w:val="center"/>
              <w:rPr>
                <w:color w:val="auto"/>
              </w:rPr>
            </w:pPr>
          </w:p>
        </w:tc>
        <w:tc>
          <w:tcPr>
            <w:tcW w:w="663" w:type="dxa"/>
            <w:vMerge w:val="continue"/>
            <w:tcBorders>
              <w:left w:val="single" w:color="auto" w:sz="4" w:space="0"/>
              <w:right w:val="single" w:color="auto" w:sz="4" w:space="0"/>
            </w:tcBorders>
            <w:noWrap w:val="0"/>
            <w:vAlign w:val="center"/>
          </w:tcPr>
          <w:p>
            <w:pPr>
              <w:spacing w:line="260" w:lineRule="exact"/>
              <w:ind w:firstLine="0" w:firstLineChars="0"/>
              <w:jc w:val="center"/>
              <w:rPr>
                <w:color w:val="auto"/>
              </w:rPr>
            </w:pPr>
          </w:p>
        </w:tc>
        <w:tc>
          <w:tcPr>
            <w:tcW w:w="2253" w:type="dxa"/>
            <w:gridSpan w:val="3"/>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lang w:eastAsia="zh-CN"/>
              </w:rPr>
              <w:t>批复</w:t>
            </w:r>
            <w:r>
              <w:rPr>
                <w:rFonts w:hint="eastAsia" w:cs="Times New Roman"/>
                <w:color w:val="auto"/>
                <w:kern w:val="0"/>
                <w:sz w:val="20"/>
                <w:szCs w:val="20"/>
                <w:lang w:val="en-US" w:eastAsia="zh-CN"/>
              </w:rPr>
              <w:t>2022年投资</w:t>
            </w:r>
            <w:r>
              <w:rPr>
                <w:rFonts w:hint="eastAsia" w:cs="Times New Roman"/>
                <w:color w:val="auto"/>
                <w:kern w:val="0"/>
                <w:sz w:val="20"/>
                <w:szCs w:val="20"/>
              </w:rPr>
              <w:t>（万元）</w:t>
            </w:r>
          </w:p>
        </w:tc>
        <w:tc>
          <w:tcPr>
            <w:tcW w:w="2410" w:type="dxa"/>
            <w:gridSpan w:val="3"/>
            <w:tcBorders>
              <w:left w:val="nil"/>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财政到位资金（万元）</w:t>
            </w:r>
          </w:p>
        </w:tc>
        <w:tc>
          <w:tcPr>
            <w:tcW w:w="994" w:type="dxa"/>
            <w:vMerge w:val="restart"/>
            <w:tcBorders>
              <w:left w:val="single" w:color="auto" w:sz="4" w:space="0"/>
              <w:right w:val="single" w:color="auto" w:sz="4" w:space="0"/>
            </w:tcBorders>
            <w:noWrap w:val="0"/>
            <w:vAlign w:val="center"/>
          </w:tcPr>
          <w:p>
            <w:pPr>
              <w:spacing w:line="260" w:lineRule="exact"/>
              <w:ind w:firstLine="0" w:firstLineChars="0"/>
              <w:rPr>
                <w:rFonts w:cs="Times New Roman"/>
                <w:color w:val="auto"/>
                <w:kern w:val="0"/>
                <w:sz w:val="20"/>
                <w:szCs w:val="20"/>
              </w:rPr>
            </w:pPr>
            <w:r>
              <w:rPr>
                <w:rFonts w:hint="eastAsia" w:cs="Times New Roman"/>
                <w:color w:val="auto"/>
                <w:kern w:val="0"/>
                <w:sz w:val="20"/>
                <w:szCs w:val="20"/>
              </w:rPr>
              <w:t>中央和省级财政资金到位率（</w:t>
            </w:r>
            <w:r>
              <w:rPr>
                <w:rFonts w:cs="Times New Roman"/>
                <w:color w:val="auto"/>
                <w:kern w:val="0"/>
                <w:sz w:val="20"/>
                <w:szCs w:val="20"/>
              </w:rPr>
              <w:t>%</w:t>
            </w:r>
            <w:r>
              <w:rPr>
                <w:rFonts w:hint="eastAsia" w:cs="Times New Roman"/>
                <w:color w:val="auto"/>
                <w:kern w:val="0"/>
                <w:sz w:val="20"/>
                <w:szCs w:val="20"/>
              </w:rPr>
              <w:t>）</w:t>
            </w:r>
          </w:p>
        </w:tc>
      </w:tr>
      <w:tr>
        <w:tblPrEx>
          <w:tblCellMar>
            <w:top w:w="0" w:type="dxa"/>
            <w:left w:w="51" w:type="dxa"/>
            <w:bottom w:w="0" w:type="dxa"/>
            <w:right w:w="51" w:type="dxa"/>
          </w:tblCellMar>
        </w:tblPrEx>
        <w:trPr>
          <w:trHeight w:val="357" w:hRule="atLeast"/>
          <w:tblHeader/>
        </w:trPr>
        <w:tc>
          <w:tcPr>
            <w:tcW w:w="2310" w:type="dxa"/>
            <w:vMerge w:val="continue"/>
            <w:tcBorders>
              <w:left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c>
          <w:tcPr>
            <w:tcW w:w="663" w:type="dxa"/>
            <w:vMerge w:val="continue"/>
            <w:tcBorders>
              <w:left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c>
          <w:tcPr>
            <w:tcW w:w="698" w:type="dxa"/>
            <w:vMerge w:val="restart"/>
            <w:tcBorders>
              <w:top w:val="single" w:color="auto" w:sz="4" w:space="0"/>
              <w:left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cs="Times New Roman"/>
                <w:color w:val="auto"/>
                <w:kern w:val="0"/>
                <w:sz w:val="20"/>
                <w:szCs w:val="20"/>
              </w:rPr>
              <w:t>总投资</w:t>
            </w: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cs="Times New Roman"/>
                <w:color w:val="auto"/>
                <w:kern w:val="0"/>
                <w:sz w:val="20"/>
                <w:szCs w:val="20"/>
              </w:rPr>
              <w:t>其中</w:t>
            </w:r>
          </w:p>
        </w:tc>
        <w:tc>
          <w:tcPr>
            <w:tcW w:w="71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小计</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其中</w:t>
            </w:r>
          </w:p>
        </w:tc>
        <w:tc>
          <w:tcPr>
            <w:tcW w:w="994" w:type="dxa"/>
            <w:vMerge w:val="continue"/>
            <w:tcBorders>
              <w:left w:val="single" w:color="auto" w:sz="4" w:space="0"/>
              <w:right w:val="single" w:color="auto" w:sz="4" w:space="0"/>
            </w:tcBorders>
            <w:noWrap w:val="0"/>
            <w:vAlign w:val="center"/>
          </w:tcPr>
          <w:p>
            <w:pPr>
              <w:spacing w:line="260" w:lineRule="exact"/>
              <w:ind w:firstLine="0" w:firstLineChars="0"/>
              <w:rPr>
                <w:rFonts w:cs="Times New Roman"/>
                <w:color w:val="auto"/>
                <w:kern w:val="0"/>
                <w:sz w:val="20"/>
                <w:szCs w:val="20"/>
              </w:rPr>
            </w:pPr>
          </w:p>
        </w:tc>
      </w:tr>
      <w:tr>
        <w:tblPrEx>
          <w:tblCellMar>
            <w:top w:w="0" w:type="dxa"/>
            <w:left w:w="51" w:type="dxa"/>
            <w:bottom w:w="0" w:type="dxa"/>
            <w:right w:w="51" w:type="dxa"/>
          </w:tblCellMar>
        </w:tblPrEx>
        <w:trPr>
          <w:trHeight w:val="475" w:hRule="atLeast"/>
          <w:tblHeader/>
        </w:trPr>
        <w:tc>
          <w:tcPr>
            <w:tcW w:w="2310" w:type="dxa"/>
            <w:vMerge w:val="continue"/>
            <w:tcBorders>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c>
          <w:tcPr>
            <w:tcW w:w="663" w:type="dxa"/>
            <w:vMerge w:val="continue"/>
            <w:tcBorders>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c>
          <w:tcPr>
            <w:tcW w:w="698" w:type="dxa"/>
            <w:vMerge w:val="continue"/>
            <w:tcBorders>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c>
          <w:tcPr>
            <w:tcW w:w="82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cs="Times New Roman"/>
                <w:color w:val="auto"/>
                <w:kern w:val="0"/>
                <w:sz w:val="20"/>
                <w:szCs w:val="20"/>
              </w:rPr>
              <w:t>中央</w:t>
            </w:r>
          </w:p>
        </w:tc>
        <w:tc>
          <w:tcPr>
            <w:tcW w:w="734" w:type="dxa"/>
            <w:tcBorders>
              <w:top w:val="single" w:color="auto" w:sz="4" w:space="0"/>
              <w:left w:val="nil"/>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省级</w:t>
            </w:r>
          </w:p>
        </w:tc>
        <w:tc>
          <w:tcPr>
            <w:tcW w:w="71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中央</w:t>
            </w:r>
          </w:p>
        </w:tc>
        <w:tc>
          <w:tcPr>
            <w:tcW w:w="84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r>
              <w:rPr>
                <w:rFonts w:hint="eastAsia" w:cs="Times New Roman"/>
                <w:color w:val="auto"/>
                <w:kern w:val="0"/>
                <w:sz w:val="20"/>
                <w:szCs w:val="20"/>
              </w:rPr>
              <w:t>省级</w:t>
            </w:r>
          </w:p>
        </w:tc>
        <w:tc>
          <w:tcPr>
            <w:tcW w:w="994" w:type="dxa"/>
            <w:vMerge w:val="continue"/>
            <w:tcBorders>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cs="Times New Roman"/>
                <w:color w:val="auto"/>
                <w:kern w:val="0"/>
                <w:sz w:val="20"/>
                <w:szCs w:val="20"/>
              </w:rPr>
            </w:pPr>
          </w:p>
        </w:tc>
      </w:tr>
      <w:tr>
        <w:tblPrEx>
          <w:tblCellMar>
            <w:top w:w="0" w:type="dxa"/>
            <w:left w:w="51" w:type="dxa"/>
            <w:bottom w:w="0" w:type="dxa"/>
            <w:right w:w="51" w:type="dxa"/>
          </w:tblCellMar>
        </w:tblPrEx>
        <w:trPr>
          <w:trHeight w:val="297" w:hRule="atLeast"/>
        </w:trPr>
        <w:tc>
          <w:tcPr>
            <w:tcW w:w="23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hint="default" w:cs="Times New Roman"/>
                <w:color w:val="auto"/>
                <w:kern w:val="0"/>
                <w:sz w:val="20"/>
                <w:szCs w:val="20"/>
                <w:lang w:val="en-US"/>
              </w:rPr>
            </w:pPr>
            <w:r>
              <w:rPr>
                <w:rFonts w:hint="eastAsia" w:cs="Times New Roman"/>
                <w:color w:val="auto"/>
                <w:kern w:val="0"/>
                <w:sz w:val="20"/>
                <w:szCs w:val="20"/>
                <w:lang w:val="en-US" w:eastAsia="zh-CN"/>
              </w:rPr>
              <w:t>临泽县小型水利建设项目北部沿山地带山洪沟道水毁应急修复工程</w:t>
            </w:r>
          </w:p>
        </w:tc>
        <w:tc>
          <w:tcPr>
            <w:tcW w:w="663" w:type="dxa"/>
            <w:tcBorders>
              <w:top w:val="nil"/>
              <w:left w:val="nil"/>
              <w:bottom w:val="single" w:color="auto" w:sz="4" w:space="0"/>
              <w:right w:val="single" w:color="auto" w:sz="4" w:space="0"/>
            </w:tcBorders>
            <w:noWrap w:val="0"/>
            <w:vAlign w:val="center"/>
          </w:tcPr>
          <w:p>
            <w:pPr>
              <w:spacing w:line="260" w:lineRule="exact"/>
              <w:ind w:firstLine="0" w:firstLineChars="0"/>
              <w:jc w:val="center"/>
              <w:rPr>
                <w:rFonts w:hint="default" w:eastAsia="仿宋_GB2312" w:cs="Times New Roman"/>
                <w:color w:val="auto"/>
                <w:kern w:val="0"/>
                <w:sz w:val="20"/>
                <w:szCs w:val="20"/>
                <w:lang w:val="en-US" w:eastAsia="zh-CN"/>
              </w:rPr>
            </w:pPr>
            <w:r>
              <w:rPr>
                <w:rFonts w:hint="eastAsia" w:cs="Times New Roman"/>
                <w:color w:val="auto"/>
                <w:kern w:val="0"/>
                <w:sz w:val="20"/>
                <w:szCs w:val="20"/>
                <w:lang w:val="en-US" w:eastAsia="zh-CN"/>
              </w:rPr>
              <w:t>200</w:t>
            </w:r>
          </w:p>
        </w:tc>
        <w:tc>
          <w:tcPr>
            <w:tcW w:w="698" w:type="dxa"/>
            <w:tcBorders>
              <w:top w:val="nil"/>
              <w:left w:val="nil"/>
              <w:bottom w:val="single" w:color="auto" w:sz="4" w:space="0"/>
              <w:right w:val="single" w:color="auto" w:sz="4" w:space="0"/>
            </w:tcBorders>
            <w:noWrap w:val="0"/>
            <w:vAlign w:val="center"/>
          </w:tcPr>
          <w:p>
            <w:pPr>
              <w:spacing w:line="260" w:lineRule="exact"/>
              <w:ind w:firstLine="0" w:firstLineChars="0"/>
              <w:jc w:val="center"/>
              <w:rPr>
                <w:rFonts w:hint="default" w:eastAsia="仿宋_GB2312" w:cs="Times New Roman"/>
                <w:color w:val="auto"/>
                <w:kern w:val="0"/>
                <w:sz w:val="20"/>
                <w:szCs w:val="20"/>
                <w:lang w:val="en-US" w:eastAsia="zh-CN"/>
              </w:rPr>
            </w:pPr>
            <w:r>
              <w:rPr>
                <w:rFonts w:hint="eastAsia" w:cs="Times New Roman"/>
                <w:color w:val="auto"/>
                <w:kern w:val="0"/>
                <w:sz w:val="20"/>
                <w:szCs w:val="20"/>
                <w:lang w:val="en-US" w:eastAsia="zh-CN"/>
              </w:rPr>
              <w:t>200</w:t>
            </w:r>
          </w:p>
        </w:tc>
        <w:tc>
          <w:tcPr>
            <w:tcW w:w="821" w:type="dxa"/>
            <w:tcBorders>
              <w:top w:val="nil"/>
              <w:left w:val="nil"/>
              <w:bottom w:val="single" w:color="auto" w:sz="4" w:space="0"/>
              <w:right w:val="single" w:color="auto" w:sz="4" w:space="0"/>
            </w:tcBorders>
            <w:noWrap w:val="0"/>
            <w:vAlign w:val="center"/>
          </w:tcPr>
          <w:p>
            <w:pPr>
              <w:spacing w:line="260" w:lineRule="exact"/>
              <w:ind w:firstLine="0" w:firstLineChars="0"/>
              <w:jc w:val="center"/>
              <w:rPr>
                <w:rFonts w:hint="default" w:eastAsia="仿宋_GB2312" w:cs="Times New Roman"/>
                <w:color w:val="auto"/>
                <w:kern w:val="0"/>
                <w:sz w:val="20"/>
                <w:szCs w:val="20"/>
                <w:lang w:val="en-US" w:eastAsia="zh-CN"/>
              </w:rPr>
            </w:pPr>
            <w:r>
              <w:rPr>
                <w:rFonts w:hint="eastAsia" w:cs="Times New Roman"/>
                <w:color w:val="auto"/>
                <w:kern w:val="0"/>
                <w:sz w:val="20"/>
                <w:szCs w:val="20"/>
                <w:lang w:val="en-US" w:eastAsia="zh-CN"/>
              </w:rPr>
              <w:t>200</w:t>
            </w:r>
          </w:p>
        </w:tc>
        <w:tc>
          <w:tcPr>
            <w:tcW w:w="734" w:type="dxa"/>
            <w:tcBorders>
              <w:top w:val="single" w:color="auto" w:sz="4" w:space="0"/>
              <w:left w:val="nil"/>
              <w:bottom w:val="single" w:color="auto" w:sz="4" w:space="0"/>
              <w:right w:val="single" w:color="auto" w:sz="4" w:space="0"/>
            </w:tcBorders>
            <w:noWrap w:val="0"/>
            <w:vAlign w:val="top"/>
          </w:tcPr>
          <w:p>
            <w:pPr>
              <w:spacing w:line="260" w:lineRule="exact"/>
              <w:ind w:firstLine="0" w:firstLineChars="0"/>
              <w:jc w:val="center"/>
              <w:rPr>
                <w:rFonts w:cs="Times New Roman"/>
                <w:color w:val="auto"/>
                <w:kern w:val="0"/>
                <w:sz w:val="20"/>
                <w:szCs w:val="20"/>
              </w:rPr>
            </w:pPr>
          </w:p>
        </w:tc>
        <w:tc>
          <w:tcPr>
            <w:tcW w:w="71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hint="default" w:eastAsia="仿宋_GB2312" w:cs="Times New Roman"/>
                <w:color w:val="auto"/>
                <w:kern w:val="0"/>
                <w:sz w:val="20"/>
                <w:szCs w:val="20"/>
                <w:lang w:val="en-US" w:eastAsia="zh-CN"/>
              </w:rPr>
            </w:pPr>
            <w:r>
              <w:rPr>
                <w:rFonts w:hint="eastAsia" w:cs="Times New Roman"/>
                <w:color w:val="auto"/>
                <w:kern w:val="0"/>
                <w:sz w:val="20"/>
                <w:szCs w:val="20"/>
                <w:lang w:val="en-US" w:eastAsia="zh-CN"/>
              </w:rPr>
              <w:t>200</w:t>
            </w:r>
          </w:p>
        </w:tc>
        <w:tc>
          <w:tcPr>
            <w:tcW w:w="851" w:type="dxa"/>
            <w:tcBorders>
              <w:top w:val="single" w:color="auto" w:sz="4" w:space="0"/>
              <w:left w:val="nil"/>
              <w:bottom w:val="single" w:color="auto" w:sz="4" w:space="0"/>
              <w:right w:val="single" w:color="auto" w:sz="4" w:space="0"/>
            </w:tcBorders>
            <w:noWrap w:val="0"/>
            <w:vAlign w:val="center"/>
          </w:tcPr>
          <w:p>
            <w:pPr>
              <w:spacing w:line="260" w:lineRule="exact"/>
              <w:ind w:firstLine="0" w:firstLineChars="0"/>
              <w:jc w:val="center"/>
              <w:rPr>
                <w:rFonts w:hint="default" w:eastAsia="仿宋_GB2312" w:cs="Times New Roman"/>
                <w:color w:val="auto"/>
                <w:kern w:val="0"/>
                <w:sz w:val="20"/>
                <w:szCs w:val="20"/>
                <w:lang w:val="en-US" w:eastAsia="zh-CN"/>
              </w:rPr>
            </w:pPr>
            <w:r>
              <w:rPr>
                <w:rFonts w:hint="eastAsia" w:cs="Times New Roman"/>
                <w:color w:val="auto"/>
                <w:kern w:val="0"/>
                <w:sz w:val="20"/>
                <w:szCs w:val="20"/>
                <w:lang w:val="en-US" w:eastAsia="zh-CN"/>
              </w:rPr>
              <w:t>200</w:t>
            </w:r>
          </w:p>
        </w:tc>
        <w:tc>
          <w:tcPr>
            <w:tcW w:w="848" w:type="dxa"/>
            <w:tcBorders>
              <w:top w:val="single" w:color="auto" w:sz="4" w:space="0"/>
              <w:left w:val="nil"/>
              <w:bottom w:val="single" w:color="auto" w:sz="4" w:space="0"/>
              <w:right w:val="single" w:color="auto" w:sz="4" w:space="0"/>
            </w:tcBorders>
            <w:noWrap w:val="0"/>
            <w:vAlign w:val="top"/>
          </w:tcPr>
          <w:p>
            <w:pPr>
              <w:spacing w:line="260" w:lineRule="exact"/>
              <w:ind w:firstLine="0" w:firstLineChars="0"/>
              <w:jc w:val="center"/>
              <w:rPr>
                <w:rFonts w:cs="Times New Roman"/>
                <w:color w:val="auto"/>
                <w:kern w:val="0"/>
                <w:sz w:val="20"/>
                <w:szCs w:val="20"/>
              </w:rPr>
            </w:pPr>
          </w:p>
        </w:tc>
        <w:tc>
          <w:tcPr>
            <w:tcW w:w="994" w:type="dxa"/>
            <w:tcBorders>
              <w:top w:val="nil"/>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hint="default" w:eastAsia="仿宋_GB2312" w:cs="Times New Roman"/>
                <w:color w:val="auto"/>
                <w:kern w:val="0"/>
                <w:sz w:val="20"/>
                <w:szCs w:val="20"/>
                <w:lang w:val="en-US" w:eastAsia="zh-CN"/>
              </w:rPr>
            </w:pPr>
            <w:r>
              <w:rPr>
                <w:rFonts w:hint="eastAsia" w:cs="Times New Roman"/>
                <w:color w:val="auto"/>
                <w:kern w:val="0"/>
                <w:sz w:val="20"/>
                <w:szCs w:val="20"/>
                <w:lang w:val="en-US" w:eastAsia="zh-CN"/>
              </w:rPr>
              <w:t>100</w:t>
            </w:r>
          </w:p>
        </w:tc>
      </w:tr>
    </w:tbl>
    <w:p>
      <w:pPr>
        <w:ind w:firstLine="0" w:firstLineChars="0"/>
        <w:rPr>
          <w:rFonts w:hint="eastAsia" w:ascii="仿宋_GB2312" w:cs="Times New Roman"/>
          <w:color w:val="auto"/>
          <w:sz w:val="18"/>
          <w:szCs w:val="18"/>
        </w:rPr>
      </w:pPr>
      <w:r>
        <w:rPr>
          <w:rFonts w:hint="eastAsia" w:ascii="仿宋_GB2312" w:cs="Times New Roman"/>
          <w:color w:val="auto"/>
          <w:sz w:val="18"/>
          <w:szCs w:val="18"/>
        </w:rPr>
        <w:t>注：财政资金到位率=(中央+省级财政到位资金)/（中央+省级资金预算数）</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kern w:val="2"/>
          <w:sz w:val="32"/>
          <w:szCs w:val="24"/>
          <w:lang w:val="en-US" w:eastAsia="zh-CN" w:bidi="ar-SA"/>
        </w:rPr>
      </w:pPr>
      <w:r>
        <w:rPr>
          <w:rFonts w:hint="eastAsia" w:ascii="仿宋_GB2312" w:hAnsi="Times New Roman" w:eastAsia="仿宋_GB2312" w:cs="Times New Roman"/>
          <w:kern w:val="2"/>
          <w:sz w:val="32"/>
          <w:szCs w:val="24"/>
          <w:lang w:val="en-US" w:eastAsia="zh-CN" w:bidi="ar-SA"/>
        </w:rPr>
        <w:t>资金执行情况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Lines="0" w:line="600" w:lineRule="exact"/>
        <w:ind w:firstLine="640" w:firstLineChars="200"/>
        <w:textAlignment w:val="auto"/>
        <w:rPr>
          <w:rFonts w:hint="eastAsia" w:cs="Times New Roman"/>
          <w:color w:val="auto"/>
          <w:lang w:val="en-US" w:eastAsia="zh-CN"/>
        </w:rPr>
      </w:pPr>
      <w:r>
        <w:rPr>
          <w:rFonts w:hint="eastAsia" w:ascii="仿宋_GB2312" w:eastAsia="仿宋_GB2312" w:cs="Times New Roman"/>
          <w:kern w:val="2"/>
          <w:sz w:val="32"/>
          <w:szCs w:val="32"/>
          <w:lang w:val="en-US" w:eastAsia="zh-CN" w:bidi="ar-SA"/>
        </w:rPr>
        <w:t>临泽县小型水利建设项目北部沿山地带山洪沟道水毁应急修复工程</w:t>
      </w:r>
      <w:r>
        <w:rPr>
          <w:rFonts w:hint="eastAsia" w:ascii="仿宋_GB2312" w:hAnsi="Times New Roman" w:eastAsia="仿宋_GB2312" w:cs="Times New Roman"/>
          <w:kern w:val="2"/>
          <w:sz w:val="32"/>
          <w:szCs w:val="32"/>
          <w:lang w:val="en-US" w:eastAsia="zh-CN" w:bidi="ar-SA"/>
        </w:rPr>
        <w:t>2023年4月25日开工建设，</w:t>
      </w:r>
      <w:r>
        <w:rPr>
          <w:rFonts w:hint="eastAsia" w:ascii="仿宋_GB2312" w:hAnsi="Times New Roman" w:eastAsia="仿宋_GB2312" w:cs="Times New Roman"/>
          <w:color w:val="auto"/>
          <w:kern w:val="2"/>
          <w:sz w:val="32"/>
          <w:szCs w:val="32"/>
          <w:lang w:val="en-US" w:eastAsia="zh-CN" w:bidi="ar-SA"/>
        </w:rPr>
        <w:t>至目前已完成</w:t>
      </w:r>
      <w:r>
        <w:rPr>
          <w:rFonts w:hint="eastAsia" w:ascii="仿宋_GB2312" w:eastAsia="仿宋_GB2312"/>
          <w:color w:val="auto"/>
          <w:sz w:val="32"/>
          <w:szCs w:val="32"/>
        </w:rPr>
        <w:t>拓宽加固三三排洪沟2.1公里，整治一工城泄洪沟道1.05公里，新建防冲齿墙3道，维修加固防冲齿墙4道，维修消力池1座、水闸喇叭口20米、输水涵洞1座、防洪堤16米。</w:t>
      </w:r>
      <w:r>
        <w:rPr>
          <w:rFonts w:hint="eastAsia" w:ascii="仿宋_GB2312" w:hAnsi="Times New Roman" w:eastAsia="仿宋_GB2312" w:cs="Times New Roman"/>
          <w:color w:val="auto"/>
          <w:kern w:val="2"/>
          <w:sz w:val="32"/>
          <w:szCs w:val="32"/>
          <w:lang w:val="en-US" w:eastAsia="zh-CN" w:bidi="ar-SA"/>
        </w:rPr>
        <w:t>完成投资200万元。</w:t>
      </w:r>
      <w:r>
        <w:rPr>
          <w:rFonts w:hint="eastAsia" w:ascii="仿宋_GB2312" w:hAnsi="Times New Roman" w:eastAsia="仿宋_GB2312" w:cs="Times New Roman"/>
          <w:kern w:val="2"/>
          <w:sz w:val="32"/>
          <w:szCs w:val="32"/>
          <w:lang w:val="en-US" w:eastAsia="zh-CN" w:bidi="ar-SA"/>
        </w:rPr>
        <w:t>年初预算计划资金200万元，实际执行200万元，执行率100%。</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Lines="0" w:line="600" w:lineRule="exact"/>
        <w:jc w:val="center"/>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w:t>
      </w:r>
      <w:r>
        <w:rPr>
          <w:rFonts w:hint="eastAsia" w:ascii="仿宋_GB2312" w:hAnsi="Times New Roman" w:eastAsia="仿宋_GB2312" w:cs="Times New Roman"/>
          <w:sz w:val="32"/>
          <w:szCs w:val="32"/>
          <w:lang w:val="en-US" w:eastAsia="zh-CN"/>
        </w:rPr>
        <w:t>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rPr>
        <w:t>年度水利</w:t>
      </w:r>
      <w:r>
        <w:rPr>
          <w:rFonts w:hint="eastAsia" w:ascii="仿宋_GB2312" w:eastAsia="仿宋_GB2312" w:cs="Times New Roman"/>
          <w:sz w:val="32"/>
          <w:szCs w:val="32"/>
          <w:lang w:eastAsia="zh-CN"/>
        </w:rPr>
        <w:t>救灾资金</w:t>
      </w:r>
      <w:r>
        <w:rPr>
          <w:rFonts w:hint="eastAsia" w:ascii="仿宋_GB2312" w:hAnsi="Times New Roman" w:eastAsia="仿宋_GB2312" w:cs="Times New Roman"/>
          <w:sz w:val="32"/>
          <w:szCs w:val="32"/>
        </w:rPr>
        <w:t>执行情况表</w:t>
      </w:r>
    </w:p>
    <w:tbl>
      <w:tblPr>
        <w:tblStyle w:val="15"/>
        <w:tblW w:w="8408" w:type="dxa"/>
        <w:tblInd w:w="0" w:type="dxa"/>
        <w:tblLayout w:type="fixed"/>
        <w:tblCellMar>
          <w:top w:w="0" w:type="dxa"/>
          <w:left w:w="51" w:type="dxa"/>
          <w:bottom w:w="0" w:type="dxa"/>
          <w:right w:w="51" w:type="dxa"/>
        </w:tblCellMar>
      </w:tblPr>
      <w:tblGrid>
        <w:gridCol w:w="2741"/>
        <w:gridCol w:w="1079"/>
        <w:gridCol w:w="2296"/>
        <w:gridCol w:w="2292"/>
      </w:tblGrid>
      <w:tr>
        <w:tblPrEx>
          <w:tblCellMar>
            <w:top w:w="0" w:type="dxa"/>
            <w:left w:w="51" w:type="dxa"/>
            <w:bottom w:w="0" w:type="dxa"/>
            <w:right w:w="51" w:type="dxa"/>
          </w:tblCellMar>
        </w:tblPrEx>
        <w:trPr>
          <w:trHeight w:val="381" w:hRule="atLeast"/>
          <w:tblHeader/>
        </w:trPr>
        <w:tc>
          <w:tcPr>
            <w:tcW w:w="274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r>
              <w:rPr>
                <w:rFonts w:hint="eastAsia" w:ascii="仿宋_GB2312" w:cs="Times New Roman"/>
                <w:color w:val="auto"/>
                <w:kern w:val="0"/>
                <w:sz w:val="20"/>
                <w:szCs w:val="20"/>
              </w:rPr>
              <w:t>分  类</w:t>
            </w:r>
          </w:p>
        </w:tc>
        <w:tc>
          <w:tcPr>
            <w:tcW w:w="107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r>
              <w:rPr>
                <w:rFonts w:hint="eastAsia" w:ascii="仿宋_GB2312" w:cs="Times New Roman"/>
                <w:color w:val="auto"/>
                <w:kern w:val="0"/>
                <w:sz w:val="20"/>
                <w:szCs w:val="20"/>
              </w:rPr>
              <w:t>投资</w:t>
            </w:r>
          </w:p>
          <w:p>
            <w:pPr>
              <w:spacing w:line="260" w:lineRule="exact"/>
              <w:ind w:firstLine="0" w:firstLineChars="0"/>
              <w:jc w:val="center"/>
              <w:rPr>
                <w:rFonts w:hint="eastAsia" w:ascii="仿宋_GB2312" w:eastAsia="仿宋_GB2312" w:cs="Times New Roman"/>
                <w:color w:val="auto"/>
                <w:kern w:val="0"/>
                <w:sz w:val="20"/>
                <w:szCs w:val="20"/>
                <w:lang w:val="en-US" w:eastAsia="zh-CN"/>
              </w:rPr>
            </w:pPr>
            <w:r>
              <w:rPr>
                <w:rFonts w:hint="eastAsia" w:ascii="仿宋_GB2312" w:cs="Times New Roman"/>
                <w:color w:val="auto"/>
                <w:kern w:val="0"/>
                <w:sz w:val="20"/>
                <w:szCs w:val="20"/>
              </w:rPr>
              <w:t>（万元）</w:t>
            </w:r>
            <w:r>
              <w:rPr>
                <w:rFonts w:hint="eastAsia" w:ascii="仿宋_GB2312" w:cs="Times New Roman"/>
                <w:color w:val="auto"/>
                <w:kern w:val="0"/>
                <w:sz w:val="20"/>
                <w:szCs w:val="20"/>
                <w:lang w:val="en-US" w:eastAsia="zh-CN"/>
              </w:rPr>
              <w:t>A</w:t>
            </w:r>
          </w:p>
        </w:tc>
        <w:tc>
          <w:tcPr>
            <w:tcW w:w="229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r>
              <w:rPr>
                <w:rFonts w:hint="eastAsia" w:ascii="仿宋_GB2312" w:cs="Times New Roman"/>
                <w:color w:val="auto"/>
                <w:kern w:val="0"/>
                <w:sz w:val="20"/>
                <w:szCs w:val="20"/>
              </w:rPr>
              <w:t>完成投资</w:t>
            </w:r>
          </w:p>
          <w:p>
            <w:pPr>
              <w:spacing w:line="260" w:lineRule="exact"/>
              <w:ind w:firstLine="0" w:firstLineChars="0"/>
              <w:jc w:val="center"/>
              <w:rPr>
                <w:rFonts w:hint="eastAsia" w:ascii="仿宋_GB2312" w:eastAsia="仿宋_GB2312" w:cs="Times New Roman"/>
                <w:color w:val="auto"/>
                <w:kern w:val="0"/>
                <w:sz w:val="20"/>
                <w:szCs w:val="20"/>
                <w:lang w:val="en-US" w:eastAsia="zh-CN"/>
              </w:rPr>
            </w:pPr>
            <w:r>
              <w:rPr>
                <w:rFonts w:hint="eastAsia" w:ascii="仿宋_GB2312" w:cs="Times New Roman"/>
                <w:color w:val="auto"/>
                <w:kern w:val="0"/>
                <w:sz w:val="20"/>
                <w:szCs w:val="20"/>
              </w:rPr>
              <w:t>（万元）</w:t>
            </w:r>
            <w:r>
              <w:rPr>
                <w:rFonts w:hint="eastAsia" w:ascii="仿宋_GB2312" w:cs="Times New Roman"/>
                <w:color w:val="auto"/>
                <w:kern w:val="0"/>
                <w:sz w:val="20"/>
                <w:szCs w:val="20"/>
                <w:lang w:val="en-US" w:eastAsia="zh-CN"/>
              </w:rPr>
              <w:t>B</w:t>
            </w:r>
          </w:p>
        </w:tc>
        <w:tc>
          <w:tcPr>
            <w:tcW w:w="2292"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r>
              <w:rPr>
                <w:rFonts w:hint="eastAsia" w:ascii="仿宋_GB2312" w:cs="Times New Roman"/>
                <w:color w:val="auto"/>
                <w:kern w:val="0"/>
                <w:sz w:val="20"/>
                <w:szCs w:val="20"/>
              </w:rPr>
              <w:t>投资完成率</w:t>
            </w:r>
          </w:p>
          <w:p>
            <w:pPr>
              <w:spacing w:line="260" w:lineRule="exact"/>
              <w:ind w:firstLine="0" w:firstLineChars="0"/>
              <w:jc w:val="center"/>
              <w:rPr>
                <w:rFonts w:hint="default" w:ascii="仿宋_GB2312" w:eastAsia="仿宋_GB2312" w:cs="Times New Roman"/>
                <w:color w:val="auto"/>
                <w:kern w:val="0"/>
                <w:sz w:val="20"/>
                <w:szCs w:val="20"/>
                <w:lang w:val="en-US" w:eastAsia="zh-CN"/>
              </w:rPr>
            </w:pPr>
            <w:r>
              <w:rPr>
                <w:rFonts w:hint="eastAsia" w:ascii="仿宋_GB2312" w:cs="Times New Roman"/>
                <w:color w:val="auto"/>
                <w:kern w:val="0"/>
                <w:sz w:val="20"/>
                <w:szCs w:val="20"/>
              </w:rPr>
              <w:t>（%）</w:t>
            </w:r>
            <w:r>
              <w:rPr>
                <w:rFonts w:hint="eastAsia" w:ascii="仿宋_GB2312" w:cs="Times New Roman"/>
                <w:color w:val="auto"/>
                <w:kern w:val="0"/>
                <w:sz w:val="20"/>
                <w:szCs w:val="20"/>
                <w:lang w:val="en-US" w:eastAsia="zh-CN"/>
              </w:rPr>
              <w:t>(B/A)</w:t>
            </w:r>
          </w:p>
        </w:tc>
      </w:tr>
      <w:tr>
        <w:tblPrEx>
          <w:tblCellMar>
            <w:top w:w="0" w:type="dxa"/>
            <w:left w:w="51" w:type="dxa"/>
            <w:bottom w:w="0" w:type="dxa"/>
            <w:right w:w="51" w:type="dxa"/>
          </w:tblCellMar>
        </w:tblPrEx>
        <w:trPr>
          <w:trHeight w:val="312" w:hRule="atLeast"/>
          <w:tblHeader/>
        </w:trPr>
        <w:tc>
          <w:tcPr>
            <w:tcW w:w="274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p>
        </w:tc>
        <w:tc>
          <w:tcPr>
            <w:tcW w:w="229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p>
        </w:tc>
        <w:tc>
          <w:tcPr>
            <w:tcW w:w="229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p>
        </w:tc>
      </w:tr>
      <w:tr>
        <w:tblPrEx>
          <w:tblCellMar>
            <w:top w:w="0" w:type="dxa"/>
            <w:left w:w="51" w:type="dxa"/>
            <w:bottom w:w="0" w:type="dxa"/>
            <w:right w:w="51" w:type="dxa"/>
          </w:tblCellMar>
        </w:tblPrEx>
        <w:trPr>
          <w:trHeight w:val="430" w:hRule="atLeast"/>
          <w:tblHeader/>
        </w:trPr>
        <w:tc>
          <w:tcPr>
            <w:tcW w:w="274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p>
        </w:tc>
        <w:tc>
          <w:tcPr>
            <w:tcW w:w="107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p>
        </w:tc>
        <w:tc>
          <w:tcPr>
            <w:tcW w:w="2296" w:type="dxa"/>
            <w:tcBorders>
              <w:top w:val="nil"/>
              <w:left w:val="nil"/>
              <w:bottom w:val="single" w:color="auto" w:sz="4" w:space="0"/>
              <w:right w:val="single" w:color="auto" w:sz="4" w:space="0"/>
            </w:tcBorders>
            <w:noWrap w:val="0"/>
            <w:vAlign w:val="center"/>
          </w:tcPr>
          <w:p>
            <w:pPr>
              <w:spacing w:line="260" w:lineRule="exact"/>
              <w:ind w:firstLine="0" w:firstLineChars="0"/>
              <w:jc w:val="center"/>
              <w:rPr>
                <w:rFonts w:hint="eastAsia" w:ascii="仿宋_GB2312" w:eastAsia="宋体" w:cs="Times New Roman"/>
                <w:color w:val="auto"/>
                <w:kern w:val="0"/>
                <w:sz w:val="20"/>
                <w:szCs w:val="20"/>
                <w:lang w:eastAsia="zh-CN"/>
              </w:rPr>
            </w:pPr>
            <w:r>
              <w:rPr>
                <w:rFonts w:hint="eastAsia" w:ascii="仿宋_GB2312" w:cs="Times New Roman"/>
                <w:color w:val="auto"/>
                <w:kern w:val="0"/>
                <w:sz w:val="20"/>
                <w:szCs w:val="20"/>
              </w:rPr>
              <w:t>截至</w:t>
            </w:r>
            <w:r>
              <w:rPr>
                <w:rFonts w:hint="eastAsia" w:ascii="仿宋_GB2312" w:cs="Times New Roman"/>
                <w:color w:val="auto"/>
                <w:kern w:val="0"/>
                <w:sz w:val="20"/>
                <w:szCs w:val="20"/>
                <w:lang w:val="en-US" w:eastAsia="zh-CN"/>
              </w:rPr>
              <w:t>目前</w:t>
            </w:r>
          </w:p>
        </w:tc>
        <w:tc>
          <w:tcPr>
            <w:tcW w:w="2292" w:type="dxa"/>
            <w:tcBorders>
              <w:top w:val="nil"/>
              <w:left w:val="nil"/>
              <w:bottom w:val="single" w:color="auto" w:sz="4" w:space="0"/>
              <w:right w:val="single" w:color="auto" w:sz="4" w:space="0"/>
            </w:tcBorders>
            <w:noWrap w:val="0"/>
            <w:vAlign w:val="center"/>
          </w:tcPr>
          <w:p>
            <w:pPr>
              <w:spacing w:line="260" w:lineRule="exact"/>
              <w:ind w:firstLine="0" w:firstLineChars="0"/>
              <w:jc w:val="center"/>
              <w:rPr>
                <w:rFonts w:hint="eastAsia" w:ascii="仿宋_GB2312" w:eastAsia="宋体" w:cs="Times New Roman"/>
                <w:color w:val="auto"/>
                <w:kern w:val="0"/>
                <w:sz w:val="20"/>
                <w:szCs w:val="20"/>
                <w:lang w:eastAsia="zh-CN"/>
              </w:rPr>
            </w:pPr>
            <w:r>
              <w:rPr>
                <w:rFonts w:hint="eastAsia" w:ascii="仿宋_GB2312" w:cs="Times New Roman"/>
                <w:color w:val="auto"/>
                <w:kern w:val="0"/>
                <w:sz w:val="20"/>
                <w:szCs w:val="20"/>
              </w:rPr>
              <w:t>截至</w:t>
            </w:r>
            <w:r>
              <w:rPr>
                <w:rFonts w:hint="eastAsia" w:ascii="仿宋_GB2312" w:cs="Times New Roman"/>
                <w:color w:val="auto"/>
                <w:kern w:val="0"/>
                <w:sz w:val="20"/>
                <w:szCs w:val="20"/>
                <w:lang w:val="en-US" w:eastAsia="zh-CN"/>
              </w:rPr>
              <w:t>目前</w:t>
            </w:r>
          </w:p>
        </w:tc>
      </w:tr>
      <w:tr>
        <w:tblPrEx>
          <w:tblCellMar>
            <w:top w:w="0" w:type="dxa"/>
            <w:left w:w="51" w:type="dxa"/>
            <w:bottom w:w="0" w:type="dxa"/>
            <w:right w:w="51" w:type="dxa"/>
          </w:tblCellMar>
        </w:tblPrEx>
        <w:trPr>
          <w:trHeight w:val="20" w:hRule="atLeast"/>
        </w:trPr>
        <w:tc>
          <w:tcPr>
            <w:tcW w:w="2741"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0" w:firstLineChars="0"/>
              <w:jc w:val="center"/>
              <w:rPr>
                <w:rFonts w:ascii="仿宋_GB2312" w:cs="Times New Roman"/>
                <w:color w:val="auto"/>
                <w:kern w:val="0"/>
                <w:sz w:val="20"/>
                <w:szCs w:val="20"/>
              </w:rPr>
            </w:pPr>
            <w:r>
              <w:rPr>
                <w:rFonts w:hint="eastAsia" w:cs="Times New Roman"/>
                <w:color w:val="auto"/>
                <w:kern w:val="0"/>
                <w:sz w:val="20"/>
                <w:szCs w:val="20"/>
                <w:lang w:val="en-US" w:eastAsia="zh-CN"/>
              </w:rPr>
              <w:t>临泽县小型水利建设项目北部沿山地带山洪沟道水毁应急修复工程</w:t>
            </w:r>
          </w:p>
        </w:tc>
        <w:tc>
          <w:tcPr>
            <w:tcW w:w="1079" w:type="dxa"/>
            <w:tcBorders>
              <w:top w:val="single" w:color="auto" w:sz="4" w:space="0"/>
              <w:left w:val="nil"/>
              <w:bottom w:val="single" w:color="auto" w:sz="4" w:space="0"/>
              <w:right w:val="single" w:color="auto" w:sz="4" w:space="0"/>
            </w:tcBorders>
            <w:noWrap w:val="0"/>
            <w:vAlign w:val="center"/>
          </w:tcPr>
          <w:p>
            <w:pPr>
              <w:spacing w:line="260" w:lineRule="exact"/>
              <w:ind w:firstLine="0" w:firstLineChars="0"/>
              <w:jc w:val="center"/>
              <w:rPr>
                <w:rFonts w:hint="default" w:ascii="仿宋_GB2312" w:eastAsia="仿宋_GB2312" w:cs="Times New Roman"/>
                <w:color w:val="auto"/>
                <w:kern w:val="0"/>
                <w:sz w:val="20"/>
                <w:szCs w:val="20"/>
                <w:lang w:val="en-US" w:eastAsia="zh-CN"/>
              </w:rPr>
            </w:pPr>
            <w:r>
              <w:rPr>
                <w:rFonts w:hint="eastAsia" w:ascii="仿宋_GB2312" w:cs="Times New Roman"/>
                <w:color w:val="auto"/>
                <w:kern w:val="0"/>
                <w:sz w:val="20"/>
                <w:szCs w:val="20"/>
                <w:lang w:val="en-US" w:eastAsia="zh-CN"/>
              </w:rPr>
              <w:t>200</w:t>
            </w:r>
          </w:p>
        </w:tc>
        <w:tc>
          <w:tcPr>
            <w:tcW w:w="2296" w:type="dxa"/>
            <w:tcBorders>
              <w:top w:val="single" w:color="auto" w:sz="4" w:space="0"/>
              <w:left w:val="nil"/>
              <w:bottom w:val="single" w:color="auto" w:sz="4" w:space="0"/>
              <w:right w:val="single" w:color="auto" w:sz="4" w:space="0"/>
            </w:tcBorders>
            <w:noWrap w:val="0"/>
            <w:vAlign w:val="center"/>
          </w:tcPr>
          <w:p>
            <w:pPr>
              <w:spacing w:line="260" w:lineRule="exact"/>
              <w:ind w:firstLine="0" w:firstLineChars="0"/>
              <w:jc w:val="center"/>
              <w:rPr>
                <w:rFonts w:hint="default" w:ascii="仿宋_GB2312" w:eastAsia="仿宋_GB2312" w:cs="Times New Roman"/>
                <w:color w:val="auto"/>
                <w:kern w:val="0"/>
                <w:sz w:val="20"/>
                <w:szCs w:val="20"/>
                <w:lang w:val="en-US" w:eastAsia="zh-CN"/>
              </w:rPr>
            </w:pPr>
            <w:r>
              <w:rPr>
                <w:rFonts w:hint="eastAsia" w:ascii="仿宋_GB2312" w:cs="Times New Roman"/>
                <w:color w:val="auto"/>
                <w:kern w:val="0"/>
                <w:sz w:val="20"/>
                <w:szCs w:val="20"/>
                <w:lang w:val="en-US" w:eastAsia="zh-CN"/>
              </w:rPr>
              <w:t>200</w:t>
            </w:r>
          </w:p>
        </w:tc>
        <w:tc>
          <w:tcPr>
            <w:tcW w:w="2292" w:type="dxa"/>
            <w:tcBorders>
              <w:top w:val="single" w:color="auto" w:sz="4" w:space="0"/>
              <w:left w:val="nil"/>
              <w:bottom w:val="single" w:color="auto" w:sz="4" w:space="0"/>
              <w:right w:val="single" w:color="auto" w:sz="4" w:space="0"/>
            </w:tcBorders>
            <w:noWrap w:val="0"/>
            <w:vAlign w:val="center"/>
          </w:tcPr>
          <w:p>
            <w:pPr>
              <w:spacing w:line="260" w:lineRule="exact"/>
              <w:ind w:firstLine="0" w:firstLineChars="0"/>
              <w:jc w:val="center"/>
              <w:rPr>
                <w:rFonts w:hint="default" w:ascii="仿宋_GB2312" w:eastAsia="仿宋_GB2312" w:cs="Times New Roman"/>
                <w:color w:val="auto"/>
                <w:kern w:val="0"/>
                <w:sz w:val="20"/>
                <w:szCs w:val="20"/>
                <w:lang w:val="en-US" w:eastAsia="zh-CN"/>
              </w:rPr>
            </w:pPr>
            <w:r>
              <w:rPr>
                <w:rFonts w:hint="eastAsia" w:ascii="仿宋_GB2312" w:cs="Times New Roman"/>
                <w:color w:val="auto"/>
                <w:kern w:val="0"/>
                <w:sz w:val="20"/>
                <w:szCs w:val="20"/>
                <w:lang w:val="en-US" w:eastAsia="zh-CN"/>
              </w:rPr>
              <w:t>200</w:t>
            </w:r>
          </w:p>
        </w:tc>
      </w:tr>
    </w:tbl>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仿宋_GB2312" w:eastAsia="仿宋_GB2312" w:cs="Times New Roman"/>
          <w:sz w:val="32"/>
          <w:szCs w:val="32"/>
          <w:lang w:val="en-US"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资金管理情况分析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s="Times New Roman"/>
          <w:sz w:val="32"/>
          <w:szCs w:val="32"/>
          <w:lang w:eastAsia="zh-CN"/>
        </w:rPr>
      </w:pPr>
      <w:r>
        <w:rPr>
          <w:rFonts w:hint="eastAsia" w:ascii="仿宋_GB2312" w:eastAsia="仿宋_GB2312" w:cs="Times New Roman"/>
          <w:kern w:val="2"/>
          <w:sz w:val="32"/>
          <w:szCs w:val="32"/>
          <w:lang w:val="en-US" w:eastAsia="zh-CN" w:bidi="ar-SA"/>
        </w:rPr>
        <w:t>临泽县小型水利建设项目北部沿山地带山洪沟道水毁应急修复工程</w:t>
      </w:r>
      <w:r>
        <w:rPr>
          <w:rFonts w:hint="eastAsia" w:ascii="仿宋_GB2312" w:eastAsia="仿宋_GB2312" w:cs="Times New Roman"/>
          <w:sz w:val="32"/>
          <w:szCs w:val="32"/>
          <w:lang w:eastAsia="zh-CN"/>
        </w:rPr>
        <w:t>资金已拨付我局，专用于</w:t>
      </w:r>
      <w:r>
        <w:rPr>
          <w:rFonts w:hint="eastAsia" w:ascii="仿宋_GB2312" w:eastAsia="仿宋_GB2312" w:cs="Times New Roman"/>
          <w:kern w:val="2"/>
          <w:sz w:val="32"/>
          <w:szCs w:val="32"/>
          <w:lang w:val="en-US" w:eastAsia="zh-CN" w:bidi="ar-SA"/>
        </w:rPr>
        <w:t>临泽县小型水利建设项目北部沿山地带山洪沟道</w:t>
      </w:r>
      <w:r>
        <w:rPr>
          <w:rFonts w:hint="eastAsia" w:ascii="仿宋_GB2312" w:eastAsia="仿宋_GB2312"/>
          <w:sz w:val="32"/>
          <w:szCs w:val="32"/>
          <w:lang w:val="en-US" w:eastAsia="zh-CN"/>
        </w:rPr>
        <w:t>水毁应急修复工程</w:t>
      </w:r>
      <w:r>
        <w:rPr>
          <w:rFonts w:hint="eastAsia" w:ascii="仿宋_GB2312" w:eastAsia="仿宋_GB2312" w:cs="Times New Roman"/>
          <w:sz w:val="32"/>
          <w:szCs w:val="32"/>
          <w:lang w:eastAsia="zh-CN"/>
        </w:rPr>
        <w:t>，按照绩效管理制度进行，遵守相关法律法规和业务管理规定;保证项目支出手续完备，及时收集相关资料并归档;财务部门管理规范，制度健全，监督规范使用资金，无截留、挤占、挪用，确保专款专用。</w:t>
      </w:r>
    </w:p>
    <w:p>
      <w:pPr>
        <w:pStyle w:val="2"/>
        <w:keepNext w:val="0"/>
        <w:keepLines w:val="0"/>
        <w:pageBreakBefore w:val="0"/>
        <w:widowControl w:val="0"/>
        <w:kinsoku/>
        <w:wordWrap/>
        <w:overflowPunct/>
        <w:topLinePunct w:val="0"/>
        <w:autoSpaceDE/>
        <w:autoSpaceDN/>
        <w:bidi w:val="0"/>
        <w:adjustRightInd/>
        <w:snapToGrid/>
        <w:spacing w:before="0" w:afterLines="0" w:line="600"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总体绩效目标完成情况分析</w:t>
      </w:r>
    </w:p>
    <w:p>
      <w:pPr>
        <w:pStyle w:val="2"/>
        <w:keepNext w:val="0"/>
        <w:keepLines w:val="0"/>
        <w:pageBreakBefore w:val="0"/>
        <w:widowControl w:val="0"/>
        <w:kinsoku/>
        <w:wordWrap/>
        <w:overflowPunct/>
        <w:topLinePunct w:val="0"/>
        <w:autoSpaceDE/>
        <w:autoSpaceDN/>
        <w:bidi w:val="0"/>
        <w:adjustRightInd/>
        <w:snapToGrid/>
        <w:spacing w:before="0" w:afterLines="0" w:line="60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hAnsi="Times New Roman" w:eastAsia="仿宋_GB2312" w:cs="Times New Roman"/>
          <w:kern w:val="2"/>
          <w:sz w:val="32"/>
          <w:szCs w:val="32"/>
          <w:lang w:val="en-US" w:eastAsia="zh-CN" w:bidi="ar-SA"/>
        </w:rPr>
        <w:t>总体目标：</w:t>
      </w:r>
      <w:r>
        <w:rPr>
          <w:rFonts w:hint="eastAsia" w:ascii="仿宋_GB2312" w:eastAsia="仿宋_GB2312" w:cs="Times New Roman"/>
          <w:color w:val="auto"/>
          <w:sz w:val="32"/>
          <w:szCs w:val="32"/>
          <w:lang w:val="en-US" w:eastAsia="zh-CN"/>
        </w:rPr>
        <w:t>拓宽加固排洪沟1.75公里，修建排洪闸1座，修复防洪堤1.5公里，新建防洪齿槽2道，加固已建防洪齿槽2道，维修泄洪渠20米，维修泄洪闸1座。</w:t>
      </w:r>
    </w:p>
    <w:p>
      <w:pPr>
        <w:pStyle w:val="2"/>
        <w:keepNext w:val="0"/>
        <w:keepLines w:val="0"/>
        <w:pageBreakBefore w:val="0"/>
        <w:widowControl w:val="0"/>
        <w:kinsoku/>
        <w:wordWrap/>
        <w:overflowPunct/>
        <w:topLinePunct w:val="0"/>
        <w:autoSpaceDE/>
        <w:autoSpaceDN/>
        <w:bidi w:val="0"/>
        <w:adjustRightInd/>
        <w:snapToGrid/>
        <w:spacing w:before="0" w:afterLines="0"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总体目标完成情况：</w:t>
      </w:r>
      <w:r>
        <w:rPr>
          <w:rFonts w:hint="eastAsia" w:ascii="仿宋_GB2312" w:hAnsi="Times New Roman" w:eastAsia="仿宋_GB2312" w:cs="Times New Roman"/>
          <w:color w:val="auto"/>
          <w:kern w:val="2"/>
          <w:sz w:val="32"/>
          <w:szCs w:val="32"/>
          <w:lang w:val="en-US" w:eastAsia="zh-CN" w:bidi="ar-SA"/>
        </w:rPr>
        <w:t>完成</w:t>
      </w:r>
      <w:r>
        <w:rPr>
          <w:rFonts w:hint="eastAsia" w:ascii="仿宋_GB2312" w:eastAsia="仿宋_GB2312"/>
          <w:color w:val="auto"/>
          <w:sz w:val="32"/>
          <w:szCs w:val="32"/>
        </w:rPr>
        <w:t>拓宽加固三三排洪沟2.1公里，整治一工城泄洪沟道1.05公里，新建防冲齿墙3道，维修加固防冲齿墙4道，维修消力池1座、水闸喇叭口20米、输水涵洞1座、防洪堤16米。</w:t>
      </w:r>
      <w:r>
        <w:rPr>
          <w:rFonts w:hint="eastAsia" w:ascii="仿宋_GB2312" w:hAnsi="Times New Roman" w:eastAsia="仿宋_GB2312" w:cs="Times New Roman"/>
          <w:kern w:val="2"/>
          <w:sz w:val="32"/>
          <w:lang w:val="en-US" w:eastAsia="zh-CN"/>
        </w:rPr>
        <w:t>完成中央水利救灾资金</w:t>
      </w:r>
      <w:r>
        <w:rPr>
          <w:rFonts w:hint="eastAsia" w:ascii="仿宋_GB2312" w:hAnsi="Times New Roman" w:cs="Times New Roman"/>
          <w:kern w:val="2"/>
          <w:sz w:val="32"/>
          <w:lang w:val="en-US" w:eastAsia="zh-CN"/>
        </w:rPr>
        <w:t>200</w:t>
      </w:r>
      <w:r>
        <w:rPr>
          <w:rFonts w:hint="eastAsia" w:ascii="仿宋_GB2312" w:hAnsi="Times New Roman" w:eastAsia="仿宋_GB2312" w:cs="Times New Roman"/>
          <w:kern w:val="2"/>
          <w:sz w:val="32"/>
          <w:lang w:val="en-US" w:eastAsia="zh-CN"/>
        </w:rPr>
        <w:t>万元</w:t>
      </w:r>
      <w:r>
        <w:rPr>
          <w:rFonts w:hint="eastAsia" w:ascii="仿宋_GB2312" w:eastAsia="仿宋_GB2312" w:cs="Times New Roman"/>
          <w:kern w:val="2"/>
          <w:sz w:val="32"/>
          <w:lang w:val="en-US" w:eastAsia="zh-CN"/>
        </w:rPr>
        <w:t>，</w:t>
      </w:r>
      <w:r>
        <w:rPr>
          <w:rFonts w:hint="eastAsia" w:ascii="仿宋_GB2312" w:eastAsia="仿宋_GB2312"/>
          <w:sz w:val="32"/>
          <w:szCs w:val="32"/>
          <w:lang w:val="en-US" w:eastAsia="zh-CN"/>
        </w:rPr>
        <w:t>水利救灾资金完成率100%</w:t>
      </w:r>
      <w:r>
        <w:rPr>
          <w:rFonts w:hint="eastAsia" w:ascii="仿宋_GB2312" w:hAnsi="Times New Roman" w:eastAsia="仿宋_GB2312" w:cs="Times New Roman"/>
          <w:kern w:val="2"/>
          <w:sz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afterLines="0" w:line="600" w:lineRule="exact"/>
        <w:ind w:firstLine="643" w:firstLineChars="200"/>
        <w:textAlignment w:val="auto"/>
        <w:rPr>
          <w:rFonts w:hint="eastAsia" w:ascii="仿宋_GB2312" w:eastAsia="仿宋_GB2312" w:cs="Times New Roman"/>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1</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rPr>
        <w:t>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数量指标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kern w:val="2"/>
          <w:sz w:val="32"/>
          <w:szCs w:val="32"/>
          <w:lang w:val="en-US" w:eastAsia="zh-CN" w:bidi="ar-SA"/>
        </w:rPr>
        <w:t>临泽县小型水利建设项目北部沿山地带山洪沟道水毁应急修复工程</w:t>
      </w:r>
      <w:r>
        <w:rPr>
          <w:rFonts w:hint="eastAsia" w:ascii="仿宋_GB2312" w:hAnsi="Times New Roman" w:eastAsia="仿宋_GB2312" w:cs="Times New Roman"/>
          <w:sz w:val="32"/>
          <w:szCs w:val="32"/>
        </w:rPr>
        <w:t>绩效目标为</w:t>
      </w:r>
      <w:r>
        <w:rPr>
          <w:rFonts w:hint="eastAsia" w:ascii="仿宋_GB2312" w:eastAsia="仿宋_GB2312" w:cs="Times New Roman"/>
          <w:color w:val="auto"/>
          <w:sz w:val="32"/>
          <w:szCs w:val="32"/>
          <w:lang w:val="en-US" w:eastAsia="zh-CN"/>
        </w:rPr>
        <w:t>拓宽加固排洪沟1.75公里，修建排洪闸1座，修复防洪堤1.5公里，新建防洪齿槽2道，加固已建防洪齿槽2道，维修泄洪渠20米，维修泄洪闸1座。实际</w:t>
      </w:r>
      <w:r>
        <w:rPr>
          <w:rFonts w:hint="eastAsia" w:ascii="仿宋_GB2312" w:hAnsi="Times New Roman" w:eastAsia="仿宋_GB2312" w:cs="Times New Roman"/>
          <w:color w:val="auto"/>
          <w:kern w:val="2"/>
          <w:sz w:val="32"/>
          <w:szCs w:val="32"/>
          <w:lang w:val="en-US" w:eastAsia="zh-CN" w:bidi="ar-SA"/>
        </w:rPr>
        <w:t>完成</w:t>
      </w:r>
      <w:r>
        <w:rPr>
          <w:rFonts w:hint="eastAsia" w:ascii="仿宋_GB2312" w:eastAsia="仿宋_GB2312"/>
          <w:color w:val="auto"/>
          <w:sz w:val="32"/>
          <w:szCs w:val="32"/>
        </w:rPr>
        <w:t>拓宽加固三三排洪沟2.1公里，整治一工城泄洪沟道1.05公里，新建防冲齿墙3道，维修加固防冲齿墙4道，维修消力池1座、水闸喇叭口20米、输水涵洞1座、防洪堤16米。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质量指标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sz w:val="32"/>
          <w:szCs w:val="32"/>
        </w:rPr>
      </w:pPr>
      <w:r>
        <w:rPr>
          <w:rFonts w:hint="eastAsia" w:ascii="仿宋_GB2312" w:eastAsia="仿宋_GB2312" w:cs="Times New Roman"/>
          <w:kern w:val="2"/>
          <w:sz w:val="32"/>
          <w:szCs w:val="32"/>
          <w:lang w:val="en-US" w:eastAsia="zh-CN" w:bidi="ar-SA"/>
        </w:rPr>
        <w:t>截止目前，临泽县小型水利建设项目北部沿山地带山洪沟道水毁应急修复工程，</w:t>
      </w:r>
      <w:r>
        <w:rPr>
          <w:rFonts w:hint="eastAsia" w:ascii="仿宋_GB2312" w:hAnsi="Times New Roman" w:eastAsia="仿宋_GB2312" w:cs="Times New Roman"/>
          <w:sz w:val="32"/>
          <w:szCs w:val="32"/>
        </w:rPr>
        <w:t>验收率100%，验收合格率100%。已建工程不存在质量问题。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）时效指标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截止</w:t>
      </w:r>
      <w:r>
        <w:rPr>
          <w:rFonts w:hint="eastAsia" w:ascii="仿宋_GB2312" w:eastAsia="仿宋_GB2312" w:cs="Times New Roman"/>
          <w:sz w:val="32"/>
          <w:szCs w:val="32"/>
          <w:lang w:val="en-US" w:eastAsia="zh-CN"/>
        </w:rPr>
        <w:t>目前</w:t>
      </w:r>
      <w:r>
        <w:rPr>
          <w:rFonts w:hint="eastAsia" w:ascii="仿宋_GB2312" w:hAnsi="Times New Roman" w:eastAsia="仿宋_GB2312" w:cs="Times New Roman"/>
          <w:sz w:val="32"/>
          <w:szCs w:val="32"/>
        </w:rPr>
        <w:t>，</w:t>
      </w:r>
      <w:r>
        <w:rPr>
          <w:rFonts w:hint="eastAsia" w:ascii="仿宋_GB2312" w:eastAsia="仿宋_GB2312" w:cs="Times New Roman"/>
          <w:kern w:val="2"/>
          <w:sz w:val="32"/>
          <w:szCs w:val="32"/>
          <w:lang w:val="en-US" w:eastAsia="zh-CN" w:bidi="ar-SA"/>
        </w:rPr>
        <w:t>临泽县小型水利建设项目北部沿山地带山洪沟道水毁应急修复工程</w:t>
      </w:r>
      <w:r>
        <w:rPr>
          <w:rFonts w:hint="eastAsia" w:ascii="仿宋_GB2312" w:hAnsi="Times New Roman" w:eastAsia="仿宋_GB2312" w:cs="Times New Roman"/>
          <w:sz w:val="32"/>
          <w:szCs w:val="32"/>
          <w:lang w:eastAsia="zh-CN"/>
        </w:rPr>
        <w:t>按时完成了</w:t>
      </w:r>
      <w:r>
        <w:rPr>
          <w:rFonts w:hint="eastAsia" w:ascii="仿宋_GB2312" w:hAnsi="Times New Roman" w:eastAsia="仿宋_GB2312" w:cs="Times New Roman"/>
          <w:sz w:val="32"/>
          <w:szCs w:val="32"/>
          <w:lang w:val="en-US" w:eastAsia="zh-CN"/>
        </w:rPr>
        <w:t>水利救灾资金200万元，完成率100%</w:t>
      </w:r>
      <w:r>
        <w:rPr>
          <w:rFonts w:hint="eastAsia" w:ascii="仿宋_GB2312"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lang w:eastAsia="zh-CN"/>
        </w:rPr>
        <w:t>）成本指标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项目严格按照批复的初步设计进行工程建设，在实施中由监理对工程的进度、质量和投资进行控制，所有项目均无超出成本现象。各项目单价均控制在批复概算单价内。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2、效益指标完成</w:t>
      </w:r>
      <w:r>
        <w:rPr>
          <w:rFonts w:hint="eastAsia" w:ascii="仿宋_GB2312" w:eastAsia="仿宋_GB2312" w:cs="Times New Roman"/>
          <w:sz w:val="32"/>
          <w:szCs w:val="32"/>
          <w:lang w:val="en-US" w:eastAsia="zh-CN"/>
        </w:rPr>
        <w:t>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b w:val="0"/>
          <w:bCs w:val="0"/>
          <w:sz w:val="32"/>
          <w:szCs w:val="32"/>
          <w:lang w:val="en-US" w:eastAsia="zh-CN"/>
        </w:rPr>
      </w:pP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lang w:val="en-US" w:eastAsia="zh-CN"/>
        </w:rPr>
        <w:t>1</w:t>
      </w:r>
      <w:r>
        <w:rPr>
          <w:rFonts w:hint="eastAsia" w:ascii="仿宋_GB2312" w:hAnsi="Times New Roman" w:eastAsia="仿宋_GB2312" w:cs="Times New Roman"/>
          <w:b w:val="0"/>
          <w:bCs w:val="0"/>
          <w:sz w:val="32"/>
          <w:szCs w:val="32"/>
          <w:lang w:eastAsia="zh-CN"/>
        </w:rPr>
        <w:t>）经济效益</w:t>
      </w:r>
      <w:r>
        <w:rPr>
          <w:rFonts w:hint="eastAsia" w:ascii="仿宋_GB2312" w:hAnsi="Times New Roman" w:eastAsia="仿宋_GB2312" w:cs="Times New Roman"/>
          <w:b w:val="0"/>
          <w:bCs w:val="0"/>
          <w:sz w:val="32"/>
          <w:szCs w:val="32"/>
          <w:lang w:val="en-US" w:eastAsia="zh-CN"/>
        </w:rPr>
        <w:t>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工程实施后，</w:t>
      </w:r>
      <w:r>
        <w:rPr>
          <w:rFonts w:hint="eastAsia" w:ascii="仿宋_GB2312" w:hAnsi="Times New Roman" w:eastAsia="仿宋_GB2312" w:cs="Times New Roman"/>
          <w:color w:val="auto"/>
          <w:sz w:val="32"/>
          <w:szCs w:val="32"/>
        </w:rPr>
        <w:t>可保护河道周边耕地1.2万亩</w:t>
      </w:r>
      <w:r>
        <w:rPr>
          <w:rFonts w:hint="eastAsia" w:ascii="仿宋_GB2312" w:eastAsia="仿宋_GB2312" w:cs="Times New Roman"/>
          <w:color w:val="auto"/>
          <w:sz w:val="32"/>
          <w:szCs w:val="32"/>
          <w:lang w:eastAsia="zh-CN"/>
        </w:rPr>
        <w:t>，</w:t>
      </w:r>
      <w:r>
        <w:rPr>
          <w:rFonts w:hint="eastAsia" w:ascii="仿宋_GB2312" w:eastAsia="仿宋_GB2312" w:cs="Times New Roman"/>
          <w:color w:val="auto"/>
          <w:sz w:val="32"/>
          <w:szCs w:val="32"/>
          <w:lang w:val="en-US" w:eastAsia="zh-CN"/>
        </w:rPr>
        <w:t>根据2017年农业产值调查，项目区保护的耕地年产值为2400万元，防洪减淹分摊系数按0.05计算，年保护耕地效益为120万元。</w:t>
      </w:r>
      <w:r>
        <w:rPr>
          <w:rFonts w:hint="eastAsia" w:ascii="仿宋_GB2312" w:hAnsi="Times New Roman" w:eastAsia="仿宋_GB2312" w:cs="Times New Roman"/>
          <w:color w:val="auto"/>
          <w:sz w:val="32"/>
          <w:szCs w:val="32"/>
        </w:rPr>
        <w:t>其它效益主要包括</w:t>
      </w:r>
      <w:r>
        <w:rPr>
          <w:rFonts w:hint="eastAsia" w:ascii="仿宋_GB2312" w:eastAsia="仿宋_GB2312" w:cs="Times New Roman"/>
          <w:color w:val="auto"/>
          <w:sz w:val="32"/>
          <w:szCs w:val="32"/>
          <w:lang w:val="en-US" w:eastAsia="zh-CN"/>
        </w:rPr>
        <w:t>乡镇、村庄和农田防洪和</w:t>
      </w:r>
      <w:r>
        <w:rPr>
          <w:rFonts w:hint="eastAsia" w:ascii="仿宋_GB2312" w:hAnsi="Times New Roman" w:eastAsia="仿宋_GB2312" w:cs="Times New Roman"/>
          <w:color w:val="auto"/>
          <w:sz w:val="32"/>
          <w:szCs w:val="32"/>
        </w:rPr>
        <w:t>救灾费用的效益，据调查，年平均值为</w:t>
      </w:r>
      <w:r>
        <w:rPr>
          <w:rFonts w:hint="eastAsia" w:ascii="仿宋_GB2312" w:eastAsia="仿宋_GB2312" w:cs="Times New Roman"/>
          <w:color w:val="auto"/>
          <w:sz w:val="32"/>
          <w:szCs w:val="32"/>
          <w:lang w:val="en-US" w:eastAsia="zh-CN"/>
        </w:rPr>
        <w:t>10</w:t>
      </w:r>
      <w:r>
        <w:rPr>
          <w:rFonts w:hint="eastAsia" w:ascii="仿宋_GB2312" w:hAnsi="Times New Roman" w:eastAsia="仿宋_GB2312" w:cs="Times New Roman"/>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b w:val="0"/>
          <w:bCs w:val="0"/>
          <w:sz w:val="32"/>
          <w:szCs w:val="32"/>
          <w:lang w:eastAsia="zh-CN"/>
        </w:rPr>
      </w:pPr>
      <w:r>
        <w:rPr>
          <w:rFonts w:hint="eastAsia" w:ascii="仿宋_GB2312" w:hAnsi="Times New Roman" w:eastAsia="仿宋_GB2312" w:cs="Times New Roman"/>
          <w:sz w:val="32"/>
          <w:szCs w:val="32"/>
        </w:rPr>
        <w:t>以上二者合计，工程年总效益为</w:t>
      </w:r>
      <w:r>
        <w:rPr>
          <w:rFonts w:hint="eastAsia" w:ascii="仿宋_GB2312" w:eastAsia="仿宋_GB2312" w:cs="Times New Roman"/>
          <w:sz w:val="32"/>
          <w:szCs w:val="32"/>
          <w:lang w:val="en-US" w:eastAsia="zh-CN"/>
        </w:rPr>
        <w:t>130</w:t>
      </w:r>
      <w:r>
        <w:rPr>
          <w:rFonts w:hint="eastAsia" w:ascii="仿宋_GB2312" w:hAnsi="Times New Roman" w:eastAsia="仿宋_GB2312" w:cs="Times New Roman"/>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b w:val="0"/>
          <w:bCs w:val="0"/>
          <w:sz w:val="32"/>
          <w:szCs w:val="32"/>
          <w:lang w:eastAsia="zh-CN"/>
        </w:rPr>
      </w:pPr>
      <w:r>
        <w:rPr>
          <w:rFonts w:hint="eastAsia" w:ascii="仿宋_GB2312" w:hAnsi="Times New Roman" w:eastAsia="仿宋_GB2312" w:cs="Times New Roman"/>
          <w:b w:val="0"/>
          <w:bCs w:val="0"/>
          <w:sz w:val="32"/>
          <w:szCs w:val="32"/>
          <w:lang w:eastAsia="zh-CN"/>
        </w:rPr>
        <w:t>（</w:t>
      </w:r>
      <w:r>
        <w:rPr>
          <w:rFonts w:hint="eastAsia" w:ascii="仿宋_GB2312" w:hAnsi="Times New Roman" w:eastAsia="仿宋_GB2312" w:cs="Times New Roman"/>
          <w:b w:val="0"/>
          <w:bCs w:val="0"/>
          <w:sz w:val="32"/>
          <w:szCs w:val="32"/>
          <w:lang w:val="en-US" w:eastAsia="zh-CN"/>
        </w:rPr>
        <w:t>2</w:t>
      </w:r>
      <w:r>
        <w:rPr>
          <w:rFonts w:hint="eastAsia" w:ascii="仿宋_GB2312" w:hAnsi="Times New Roman" w:eastAsia="仿宋_GB2312" w:cs="Times New Roman"/>
          <w:b w:val="0"/>
          <w:bCs w:val="0"/>
          <w:sz w:val="32"/>
          <w:szCs w:val="32"/>
          <w:lang w:eastAsia="zh-CN"/>
        </w:rPr>
        <w:t>）社会效益</w:t>
      </w:r>
      <w:r>
        <w:rPr>
          <w:rFonts w:hint="eastAsia" w:ascii="仿宋_GB2312" w:hAnsi="Times New Roman" w:eastAsia="仿宋_GB2312" w:cs="Times New Roman"/>
          <w:b w:val="0"/>
          <w:bCs w:val="0"/>
          <w:sz w:val="32"/>
          <w:szCs w:val="32"/>
          <w:lang w:val="en-US" w:eastAsia="zh-CN"/>
        </w:rPr>
        <w:t>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工程实施后，</w:t>
      </w:r>
      <w:r>
        <w:rPr>
          <w:rFonts w:hint="eastAsia" w:ascii="仿宋_GB2312" w:eastAsia="仿宋_GB2312" w:cs="Times New Roman"/>
          <w:sz w:val="32"/>
          <w:szCs w:val="32"/>
          <w:lang w:val="en-US" w:eastAsia="zh-CN"/>
        </w:rPr>
        <w:t>可基本恢复项目区水利设施的防洪能力，有效解决山洪引发所导致的农田进水、渠道被冲毁、淤积掩埋等问题，</w:t>
      </w:r>
      <w:r>
        <w:rPr>
          <w:rFonts w:hint="eastAsia" w:ascii="仿宋_GB2312" w:hAnsi="Times New Roman" w:eastAsia="仿宋_GB2312" w:cs="Times New Roman"/>
          <w:sz w:val="32"/>
          <w:szCs w:val="32"/>
        </w:rPr>
        <w:t>提高了防洪标准，</w:t>
      </w:r>
      <w:r>
        <w:rPr>
          <w:rFonts w:hint="eastAsia" w:ascii="仿宋_GB2312" w:eastAsia="仿宋_GB2312" w:cs="Times New Roman"/>
          <w:sz w:val="32"/>
          <w:szCs w:val="32"/>
          <w:lang w:val="en-US" w:eastAsia="zh-CN"/>
        </w:rPr>
        <w:t>保障了三三村、一工城村</w:t>
      </w:r>
      <w:r>
        <w:rPr>
          <w:rFonts w:hint="eastAsia" w:ascii="仿宋_GB2312" w:hAnsi="Times New Roman" w:eastAsia="仿宋_GB2312" w:cs="Times New Roman"/>
          <w:sz w:val="32"/>
          <w:szCs w:val="32"/>
          <w:lang w:val="en-US" w:eastAsia="zh-CN"/>
        </w:rPr>
        <w:t>0.38万人</w:t>
      </w:r>
      <w:r>
        <w:rPr>
          <w:rFonts w:hint="eastAsia" w:ascii="仿宋_GB2312" w:eastAsia="仿宋_GB2312" w:cs="Times New Roman"/>
          <w:sz w:val="32"/>
          <w:szCs w:val="32"/>
          <w:lang w:val="en-US" w:eastAsia="zh-CN"/>
        </w:rPr>
        <w:t>、1.2万亩耕地的防洪安全</w:t>
      </w:r>
      <w:r>
        <w:rPr>
          <w:rFonts w:hint="eastAsia" w:ascii="仿宋_GB2312" w:hAnsi="Times New Roman" w:eastAsia="仿宋_GB2312" w:cs="Times New Roman"/>
          <w:sz w:val="32"/>
          <w:szCs w:val="32"/>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b w:val="0"/>
          <w:bCs w:val="0"/>
          <w:sz w:val="32"/>
          <w:szCs w:val="32"/>
          <w:lang w:val="en-US" w:eastAsia="zh-CN"/>
        </w:rPr>
      </w:pPr>
      <w:r>
        <w:rPr>
          <w:rFonts w:hint="eastAsia" w:ascii="仿宋_GB2312" w:hAnsi="Times New Roman" w:eastAsia="仿宋_GB2312" w:cs="Times New Roman"/>
          <w:b w:val="0"/>
          <w:bCs w:val="0"/>
          <w:sz w:val="32"/>
          <w:szCs w:val="32"/>
          <w:lang w:eastAsia="zh-CN"/>
        </w:rPr>
        <w:t>生态效益</w:t>
      </w:r>
      <w:r>
        <w:rPr>
          <w:rFonts w:hint="eastAsia" w:ascii="仿宋_GB2312" w:hAnsi="Times New Roman" w:eastAsia="仿宋_GB2312" w:cs="Times New Roman"/>
          <w:b w:val="0"/>
          <w:bCs w:val="0"/>
          <w:sz w:val="32"/>
          <w:szCs w:val="32"/>
          <w:lang w:val="en-US" w:eastAsia="zh-CN"/>
        </w:rPr>
        <w:t>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Times New Roman" w:eastAsia="仿宋_GB2312" w:cs="Times New Roman"/>
          <w:sz w:val="32"/>
          <w:szCs w:val="32"/>
        </w:rPr>
      </w:pPr>
      <w:r>
        <w:rPr>
          <w:rFonts w:hint="eastAsia" w:ascii="仿宋_GB2312" w:eastAsia="仿宋_GB2312" w:cs="Times New Roman"/>
          <w:sz w:val="32"/>
          <w:szCs w:val="32"/>
          <w:lang w:val="en-US" w:eastAsia="zh-CN"/>
        </w:rPr>
        <w:t>工程实施后，将</w:t>
      </w:r>
      <w:r>
        <w:rPr>
          <w:rFonts w:hint="eastAsia" w:ascii="仿宋_GB2312" w:hAnsi="Times New Roman" w:eastAsia="仿宋_GB2312" w:cs="Times New Roman"/>
          <w:sz w:val="32"/>
          <w:szCs w:val="32"/>
        </w:rPr>
        <w:t>有效地涵养水源、保持水土，防止泥沙流失，调节气候，改善生态环境、净化空气，改善项目区及周边地区的生态环境，环境生态效益比较显著。</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Times New Roman" w:eastAsia="仿宋_GB2312" w:cs="Times New Roman"/>
          <w:b w:val="0"/>
          <w:bCs w:val="0"/>
          <w:sz w:val="32"/>
          <w:szCs w:val="32"/>
          <w:lang w:val="en-US" w:eastAsia="zh-CN"/>
        </w:rPr>
      </w:pPr>
      <w:r>
        <w:rPr>
          <w:rFonts w:hint="eastAsia" w:ascii="仿宋_GB2312" w:hAnsi="Times New Roman" w:eastAsia="仿宋_GB2312" w:cs="Times New Roman"/>
          <w:b w:val="0"/>
          <w:bCs w:val="0"/>
          <w:sz w:val="32"/>
          <w:szCs w:val="32"/>
          <w:lang w:eastAsia="zh-CN"/>
        </w:rPr>
        <w:t>可持续影响</w:t>
      </w:r>
      <w:r>
        <w:rPr>
          <w:rFonts w:hint="eastAsia" w:ascii="仿宋_GB2312" w:hAnsi="Times New Roman" w:eastAsia="仿宋_GB2312" w:cs="Times New Roman"/>
          <w:b w:val="0"/>
          <w:bCs w:val="0"/>
          <w:sz w:val="32"/>
          <w:szCs w:val="32"/>
          <w:lang w:val="en-US" w:eastAsia="zh-CN"/>
        </w:rPr>
        <w:t>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该项目2023年4月25日开工建设,截止目前，已完成全部建设任务。已建成的防洪堤及建筑物，初期运行正常，各项指标达到了设计标准。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临泽县小型水利建设项目北部沿山地带山洪沟道水毁应急修复工程实施过程中严格执行“四制”管理，中央资金到位及时，资金支付合规。该项目完成工程建设预期目标，社会效益显著，群众满意度高。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val="en-US" w:eastAsia="zh-CN"/>
        </w:rPr>
        <w:t>满意度指标</w:t>
      </w:r>
      <w:r>
        <w:rPr>
          <w:rFonts w:hint="eastAsia" w:ascii="仿宋_GB2312" w:eastAsia="仿宋_GB2312" w:cs="Times New Roman"/>
          <w:sz w:val="32"/>
          <w:szCs w:val="32"/>
          <w:lang w:val="en-US" w:eastAsia="zh-CN"/>
        </w:rPr>
        <w:t>情况</w:t>
      </w:r>
      <w:r>
        <w:rPr>
          <w:rFonts w:hint="eastAsia" w:ascii="仿宋_GB2312" w:hAnsi="Times New Roman" w:eastAsia="仿宋_GB2312" w:cs="Times New Roman"/>
          <w:sz w:val="32"/>
          <w:szCs w:val="32"/>
          <w:lang w:val="en-US" w:eastAsia="zh-CN"/>
        </w:rPr>
        <w:t>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临泽县小型水利建设项目北部沿山地带山洪沟道水毁应急修复工程</w:t>
      </w:r>
      <w:r>
        <w:rPr>
          <w:rFonts w:hint="eastAsia" w:ascii="仿宋_GB2312" w:hAnsi="Times New Roman" w:eastAsia="仿宋_GB2312" w:cs="Times New Roman"/>
          <w:sz w:val="32"/>
          <w:szCs w:val="32"/>
        </w:rPr>
        <w:t>发放调查问卷</w:t>
      </w:r>
      <w:r>
        <w:rPr>
          <w:rFonts w:hint="eastAsia" w:ascii="仿宋_GB2312" w:hAnsi="Times New Roman" w:eastAsia="仿宋_GB2312" w:cs="Times New Roman"/>
          <w:sz w:val="32"/>
          <w:szCs w:val="32"/>
          <w:lang w:val="en-US" w:eastAsia="zh-CN"/>
        </w:rPr>
        <w:t>30</w:t>
      </w:r>
      <w:r>
        <w:rPr>
          <w:rFonts w:hint="eastAsia" w:ascii="仿宋_GB2312" w:hAnsi="Times New Roman" w:eastAsia="仿宋_GB2312" w:cs="Times New Roman"/>
          <w:sz w:val="32"/>
          <w:szCs w:val="32"/>
        </w:rPr>
        <w:t>份，群众满意度100%。</w:t>
      </w:r>
    </w:p>
    <w:p>
      <w:pPr>
        <w:keepNext w:val="0"/>
        <w:keepLines w:val="0"/>
        <w:pageBreakBefore w:val="0"/>
        <w:widowControl w:val="0"/>
        <w:kinsoku/>
        <w:wordWrap/>
        <w:overflowPunct/>
        <w:topLinePunct w:val="0"/>
        <w:autoSpaceDE/>
        <w:autoSpaceDN/>
        <w:bidi w:val="0"/>
        <w:adjustRightInd/>
        <w:snapToGrid/>
        <w:spacing w:line="600" w:lineRule="exact"/>
        <w:ind w:firstLine="2240" w:firstLineChars="700"/>
        <w:jc w:val="left"/>
        <w:textAlignment w:val="auto"/>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rPr>
        <w:t>项目实施满意度调查情况汇总表</w:t>
      </w:r>
    </w:p>
    <w:tbl>
      <w:tblPr>
        <w:tblStyle w:val="15"/>
        <w:tblW w:w="883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00"/>
        <w:gridCol w:w="1440"/>
        <w:gridCol w:w="900"/>
        <w:gridCol w:w="900"/>
        <w:gridCol w:w="1260"/>
        <w:gridCol w:w="144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 w:hRule="atLeast"/>
        </w:trPr>
        <w:tc>
          <w:tcPr>
            <w:tcW w:w="18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分类</w:t>
            </w:r>
          </w:p>
        </w:tc>
        <w:tc>
          <w:tcPr>
            <w:tcW w:w="144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发放调查</w:t>
            </w:r>
          </w:p>
          <w:p>
            <w:pPr>
              <w:spacing w:beforeLines="0" w:afterLines="0" w:line="260" w:lineRule="exact"/>
              <w:ind w:firstLine="0" w:firstLineChars="0"/>
              <w:jc w:val="center"/>
              <w:rPr>
                <w:rFonts w:hint="eastAsia" w:ascii="仿宋_GB2312"/>
                <w:color w:val="000000"/>
                <w:kern w:val="0"/>
                <w:sz w:val="20"/>
              </w:rPr>
            </w:pPr>
            <w:r>
              <w:rPr>
                <w:rFonts w:hint="eastAsia" w:ascii="仿宋_GB2312"/>
                <w:color w:val="000000"/>
                <w:kern w:val="0"/>
                <w:sz w:val="20"/>
              </w:rPr>
              <w:t>问卷数（份）B</w:t>
            </w:r>
          </w:p>
        </w:tc>
        <w:tc>
          <w:tcPr>
            <w:tcW w:w="9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满意</w:t>
            </w:r>
          </w:p>
          <w:p>
            <w:pPr>
              <w:spacing w:beforeLines="0" w:afterLines="0" w:line="260" w:lineRule="exact"/>
              <w:ind w:firstLine="0" w:firstLineChars="0"/>
              <w:jc w:val="center"/>
              <w:rPr>
                <w:rFonts w:hint="eastAsia" w:ascii="仿宋_GB2312"/>
                <w:color w:val="000000"/>
                <w:kern w:val="0"/>
                <w:sz w:val="20"/>
              </w:rPr>
            </w:pPr>
            <w:r>
              <w:rPr>
                <w:rFonts w:hint="eastAsia" w:ascii="仿宋_GB2312"/>
                <w:color w:val="000000"/>
                <w:kern w:val="0"/>
                <w:sz w:val="20"/>
              </w:rPr>
              <w:t>（份）C</w:t>
            </w:r>
          </w:p>
        </w:tc>
        <w:tc>
          <w:tcPr>
            <w:tcW w:w="9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不满意（份）</w:t>
            </w: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空表、无意见（份）</w:t>
            </w:r>
          </w:p>
        </w:tc>
        <w:tc>
          <w:tcPr>
            <w:tcW w:w="144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平均满意度</w:t>
            </w:r>
          </w:p>
          <w:p>
            <w:pPr>
              <w:spacing w:beforeLines="0" w:afterLines="0" w:line="260" w:lineRule="exact"/>
              <w:ind w:firstLine="0" w:firstLineChars="0"/>
              <w:jc w:val="center"/>
              <w:rPr>
                <w:rFonts w:hint="eastAsia" w:ascii="仿宋_GB2312"/>
                <w:color w:val="000000"/>
                <w:kern w:val="0"/>
                <w:sz w:val="20"/>
              </w:rPr>
            </w:pPr>
            <w:r>
              <w:rPr>
                <w:rFonts w:hint="eastAsia" w:ascii="仿宋_GB2312"/>
                <w:color w:val="000000"/>
                <w:kern w:val="0"/>
                <w:sz w:val="20"/>
              </w:rPr>
              <w:t>（分）F=C/B</w:t>
            </w:r>
          </w:p>
        </w:tc>
        <w:tc>
          <w:tcPr>
            <w:tcW w:w="1095"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default" w:ascii="仿宋_GB2312" w:eastAsia="Times New Roman"/>
                <w:color w:val="000000"/>
                <w:kern w:val="0"/>
                <w:sz w:val="20"/>
              </w:rPr>
            </w:pPr>
            <w:r>
              <w:rPr>
                <w:rFonts w:hint="eastAsia" w:ascii="仿宋_GB2312"/>
                <w:color w:val="000000"/>
                <w:kern w:val="0"/>
                <w:sz w:val="20"/>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 w:hRule="atLeast"/>
        </w:trPr>
        <w:tc>
          <w:tcPr>
            <w:tcW w:w="18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line="260" w:lineRule="exact"/>
              <w:ind w:firstLine="0" w:firstLineChars="0"/>
              <w:jc w:val="center"/>
              <w:rPr>
                <w:rFonts w:hint="eastAsia" w:ascii="仿宋_GB2312" w:eastAsia="仿宋_GB2312"/>
                <w:color w:val="000000"/>
                <w:kern w:val="0"/>
                <w:sz w:val="20"/>
                <w:lang w:eastAsia="zh-CN"/>
              </w:rPr>
            </w:pPr>
            <w:r>
              <w:rPr>
                <w:rFonts w:hint="eastAsia" w:ascii="仿宋_GB2312" w:eastAsia="仿宋_GB2312"/>
                <w:color w:val="000000"/>
                <w:kern w:val="0"/>
                <w:sz w:val="20"/>
                <w:lang w:eastAsia="zh-CN"/>
              </w:rPr>
              <w:t>临泽县小型水利建设项目北部沿山地带山洪沟道水毁应急修复工程</w:t>
            </w:r>
          </w:p>
        </w:tc>
        <w:tc>
          <w:tcPr>
            <w:tcW w:w="1440" w:type="dxa"/>
            <w:tcBorders>
              <w:top w:val="single" w:color="000000" w:sz="4" w:space="0"/>
              <w:left w:val="nil"/>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ind w:firstLine="0" w:firstLineChars="0"/>
              <w:jc w:val="center"/>
              <w:rPr>
                <w:rFonts w:hint="default" w:ascii="仿宋_GB2312" w:eastAsia="宋体"/>
                <w:color w:val="000000"/>
                <w:kern w:val="0"/>
                <w:sz w:val="20"/>
                <w:lang w:val="en-US" w:eastAsia="zh-CN"/>
              </w:rPr>
            </w:pPr>
            <w:r>
              <w:rPr>
                <w:rFonts w:hint="eastAsia" w:ascii="仿宋_GB2312" w:eastAsia="宋体"/>
                <w:color w:val="000000"/>
                <w:kern w:val="0"/>
                <w:sz w:val="20"/>
                <w:lang w:val="en-US" w:eastAsia="zh-CN"/>
              </w:rPr>
              <w:t>30</w:t>
            </w:r>
          </w:p>
        </w:tc>
        <w:tc>
          <w:tcPr>
            <w:tcW w:w="9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ind w:firstLine="0" w:firstLineChars="0"/>
              <w:jc w:val="center"/>
              <w:rPr>
                <w:rFonts w:hint="default" w:ascii="仿宋_GB2312" w:eastAsia="宋体"/>
                <w:color w:val="000000"/>
                <w:kern w:val="0"/>
                <w:sz w:val="20"/>
                <w:lang w:val="en-US" w:eastAsia="zh-CN"/>
              </w:rPr>
            </w:pPr>
            <w:r>
              <w:rPr>
                <w:rFonts w:hint="eastAsia" w:ascii="仿宋_GB2312" w:eastAsia="宋体"/>
                <w:color w:val="000000"/>
                <w:kern w:val="0"/>
                <w:sz w:val="20"/>
                <w:lang w:val="en-US" w:eastAsia="zh-CN"/>
              </w:rPr>
              <w:t>30</w:t>
            </w:r>
          </w:p>
        </w:tc>
        <w:tc>
          <w:tcPr>
            <w:tcW w:w="90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ind w:firstLine="0" w:firstLineChars="0"/>
              <w:jc w:val="center"/>
              <w:rPr>
                <w:rFonts w:hint="default" w:ascii="仿宋_GB2312"/>
                <w:color w:val="000000"/>
                <w:kern w:val="0"/>
                <w:sz w:val="20"/>
              </w:rPr>
            </w:pPr>
            <w:r>
              <w:rPr>
                <w:rFonts w:hint="default" w:ascii="仿宋_GB2312"/>
                <w:color w:val="000000"/>
                <w:kern w:val="0"/>
                <w:sz w:val="20"/>
              </w:rPr>
              <w:t>0</w:t>
            </w:r>
          </w:p>
        </w:tc>
        <w:tc>
          <w:tcPr>
            <w:tcW w:w="126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ind w:firstLine="0" w:firstLineChars="0"/>
              <w:jc w:val="center"/>
              <w:rPr>
                <w:rFonts w:hint="default" w:ascii="仿宋_GB2312"/>
                <w:color w:val="000000"/>
                <w:kern w:val="0"/>
                <w:sz w:val="20"/>
              </w:rPr>
            </w:pPr>
            <w:r>
              <w:rPr>
                <w:rFonts w:hint="default" w:ascii="仿宋_GB2312"/>
                <w:color w:val="000000"/>
                <w:kern w:val="0"/>
                <w:sz w:val="20"/>
              </w:rPr>
              <w:t>0</w:t>
            </w:r>
          </w:p>
        </w:tc>
        <w:tc>
          <w:tcPr>
            <w:tcW w:w="1440"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ind w:firstLine="0" w:firstLineChars="0"/>
              <w:jc w:val="center"/>
              <w:rPr>
                <w:rFonts w:hint="eastAsia" w:ascii="仿宋_GB2312"/>
                <w:color w:val="000000"/>
                <w:kern w:val="0"/>
                <w:sz w:val="20"/>
              </w:rPr>
            </w:pPr>
            <w:r>
              <w:rPr>
                <w:rFonts w:hint="eastAsia" w:ascii="仿宋_GB2312"/>
                <w:color w:val="000000"/>
                <w:kern w:val="0"/>
                <w:sz w:val="20"/>
              </w:rPr>
              <w:t>100</w:t>
            </w:r>
          </w:p>
        </w:tc>
        <w:tc>
          <w:tcPr>
            <w:tcW w:w="1095" w:type="dxa"/>
            <w:tcBorders>
              <w:top w:val="single" w:color="000000" w:sz="4" w:space="0"/>
              <w:left w:val="single" w:color="000000" w:sz="4" w:space="0"/>
              <w:bottom w:val="single" w:color="000000" w:sz="4" w:space="0"/>
              <w:right w:val="single" w:color="000000" w:sz="4" w:space="0"/>
              <w:tl2br w:val="nil"/>
              <w:tr2bl w:val="nil"/>
            </w:tcBorders>
            <w:noWrap w:val="0"/>
            <w:tcMar>
              <w:top w:w="15" w:type="dxa"/>
              <w:left w:w="15" w:type="dxa"/>
              <w:right w:w="15" w:type="dxa"/>
            </w:tcMar>
            <w:vAlign w:val="center"/>
          </w:tcPr>
          <w:p>
            <w:pPr>
              <w:spacing w:beforeLines="0" w:afterLines="0"/>
              <w:ind w:firstLine="400"/>
              <w:jc w:val="center"/>
              <w:rPr>
                <w:rFonts w:hint="default" w:ascii="仿宋_GB2312" w:eastAsia="Times New Roman"/>
                <w:color w:val="000000"/>
                <w:kern w:val="0"/>
                <w:sz w:val="20"/>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临泽县小型水利建设项目北部沿山地带山洪沟道水毁应急修复工程</w:t>
      </w:r>
      <w:r>
        <w:rPr>
          <w:rFonts w:hint="eastAsia" w:ascii="仿宋_GB2312" w:hAnsi="仿宋_GB2312" w:eastAsia="仿宋_GB2312"/>
          <w:sz w:val="32"/>
          <w:szCs w:val="28"/>
          <w:lang w:eastAsia="zh-CN"/>
        </w:rPr>
        <w:t>于</w:t>
      </w:r>
      <w:r>
        <w:rPr>
          <w:rFonts w:hint="eastAsia" w:ascii="仿宋_GB2312" w:hAnsi="仿宋_GB2312" w:eastAsia="仿宋_GB2312"/>
          <w:sz w:val="32"/>
          <w:szCs w:val="28"/>
          <w:lang w:val="en-US" w:eastAsia="zh-CN"/>
        </w:rPr>
        <w:t>2023年4</w:t>
      </w:r>
      <w:r>
        <w:rPr>
          <w:rFonts w:hint="eastAsia" w:ascii="仿宋_GB2312" w:hAnsi="仿宋_GB2312" w:eastAsia="仿宋_GB2312"/>
          <w:sz w:val="32"/>
          <w:szCs w:val="28"/>
        </w:rPr>
        <w:t>月</w:t>
      </w:r>
      <w:r>
        <w:rPr>
          <w:rFonts w:hint="eastAsia" w:ascii="仿宋_GB2312" w:hAnsi="仿宋_GB2312" w:eastAsia="仿宋_GB2312"/>
          <w:sz w:val="32"/>
          <w:szCs w:val="28"/>
          <w:lang w:val="en-US" w:eastAsia="zh-CN"/>
        </w:rPr>
        <w:t>25</w:t>
      </w:r>
      <w:r>
        <w:rPr>
          <w:rFonts w:hint="eastAsia" w:ascii="仿宋_GB2312" w:hAnsi="仿宋_GB2312" w:eastAsia="仿宋_GB2312"/>
          <w:sz w:val="32"/>
          <w:szCs w:val="28"/>
        </w:rPr>
        <w:t>日</w:t>
      </w:r>
      <w:r>
        <w:rPr>
          <w:rFonts w:hint="eastAsia" w:ascii="仿宋_GB2312" w:hAnsi="仿宋_GB2312" w:eastAsia="仿宋_GB2312"/>
          <w:sz w:val="32"/>
          <w:szCs w:val="28"/>
          <w:lang w:val="en-US" w:eastAsia="zh-CN"/>
        </w:rPr>
        <w:t>开</w:t>
      </w:r>
      <w:r>
        <w:rPr>
          <w:rFonts w:hint="eastAsia" w:ascii="仿宋_GB2312" w:hAnsi="仿宋_GB2312" w:eastAsia="仿宋_GB2312"/>
          <w:sz w:val="32"/>
          <w:szCs w:val="28"/>
        </w:rPr>
        <w:t>工</w:t>
      </w:r>
      <w:r>
        <w:rPr>
          <w:rFonts w:hint="eastAsia" w:ascii="仿宋_GB2312" w:hAnsi="仿宋_GB2312" w:eastAsia="仿宋_GB2312"/>
          <w:sz w:val="32"/>
          <w:szCs w:val="28"/>
          <w:lang w:val="en-US" w:eastAsia="zh-CN"/>
        </w:rPr>
        <w:t>建设</w:t>
      </w:r>
      <w:r>
        <w:rPr>
          <w:rFonts w:hint="eastAsia" w:ascii="仿宋_GB2312" w:hAnsi="仿宋_GB2312" w:eastAsia="仿宋_GB2312"/>
          <w:sz w:val="32"/>
          <w:szCs w:val="28"/>
        </w:rPr>
        <w:t>，</w:t>
      </w:r>
      <w:r>
        <w:rPr>
          <w:rFonts w:hint="eastAsia" w:ascii="仿宋_GB2312" w:hAnsi="仿宋_GB2312" w:eastAsia="仿宋_GB2312"/>
          <w:sz w:val="32"/>
          <w:szCs w:val="28"/>
          <w:lang w:val="en-US" w:eastAsia="zh-CN"/>
        </w:rPr>
        <w:t>至目前已全部完成批复建设任务。</w:t>
      </w:r>
      <w:r>
        <w:rPr>
          <w:rFonts w:hint="eastAsia" w:ascii="仿宋_GB2312" w:eastAsia="仿宋_GB2312"/>
          <w:sz w:val="32"/>
          <w:szCs w:val="32"/>
          <w:lang w:eastAsia="zh-CN"/>
        </w:rPr>
        <w:t>工程建成后，有效改善</w:t>
      </w:r>
      <w:r>
        <w:rPr>
          <w:rFonts w:hint="eastAsia" w:ascii="仿宋_GB2312" w:eastAsia="仿宋_GB2312"/>
          <w:sz w:val="32"/>
          <w:szCs w:val="32"/>
          <w:lang w:val="en-US" w:eastAsia="zh-CN"/>
        </w:rPr>
        <w:t>平川北部</w:t>
      </w:r>
      <w:r>
        <w:rPr>
          <w:rFonts w:hint="eastAsia" w:ascii="仿宋_GB2312" w:eastAsia="仿宋_GB2312"/>
          <w:sz w:val="32"/>
          <w:szCs w:val="32"/>
          <w:lang w:eastAsia="zh-CN"/>
        </w:rPr>
        <w:t>沿山地带防洪条件，提高</w:t>
      </w:r>
      <w:r>
        <w:rPr>
          <w:rFonts w:hint="eastAsia" w:ascii="仿宋_GB2312" w:eastAsia="仿宋_GB2312"/>
          <w:sz w:val="32"/>
          <w:szCs w:val="32"/>
          <w:lang w:val="en-US" w:eastAsia="zh-CN"/>
        </w:rPr>
        <w:t>了</w:t>
      </w:r>
      <w:r>
        <w:rPr>
          <w:rFonts w:hint="eastAsia" w:ascii="仿宋_GB2312" w:eastAsia="仿宋_GB2312"/>
          <w:sz w:val="32"/>
          <w:szCs w:val="32"/>
          <w:lang w:eastAsia="zh-CN"/>
        </w:rPr>
        <w:t>防洪能力，保障</w:t>
      </w:r>
      <w:r>
        <w:rPr>
          <w:rFonts w:hint="eastAsia" w:ascii="仿宋_GB2312" w:eastAsia="仿宋_GB2312"/>
          <w:sz w:val="32"/>
          <w:szCs w:val="32"/>
          <w:lang w:val="en-US" w:eastAsia="zh-CN"/>
        </w:rPr>
        <w:t>三三村、一工城村</w:t>
      </w:r>
      <w:r>
        <w:rPr>
          <w:rFonts w:hint="eastAsia" w:ascii="仿宋_GB2312" w:eastAsia="仿宋_GB2312"/>
          <w:sz w:val="32"/>
          <w:szCs w:val="32"/>
          <w:lang w:eastAsia="zh-CN"/>
        </w:rPr>
        <w:t>共</w:t>
      </w:r>
      <w:r>
        <w:rPr>
          <w:rFonts w:hint="eastAsia" w:ascii="仿宋_GB2312" w:eastAsia="仿宋_GB2312"/>
          <w:sz w:val="32"/>
          <w:szCs w:val="32"/>
          <w:lang w:val="en-US" w:eastAsia="zh-CN"/>
        </w:rPr>
        <w:t>0.38</w:t>
      </w:r>
      <w:r>
        <w:rPr>
          <w:rFonts w:hint="eastAsia" w:ascii="仿宋_GB2312" w:eastAsia="仿宋_GB2312"/>
          <w:sz w:val="32"/>
          <w:szCs w:val="32"/>
          <w:lang w:eastAsia="zh-CN"/>
        </w:rPr>
        <w:t>万人、</w:t>
      </w:r>
      <w:r>
        <w:rPr>
          <w:rFonts w:hint="eastAsia" w:ascii="仿宋_GB2312" w:eastAsia="仿宋_GB2312"/>
          <w:sz w:val="32"/>
          <w:szCs w:val="32"/>
          <w:lang w:val="en-US" w:eastAsia="zh-CN"/>
        </w:rPr>
        <w:t>1.2</w:t>
      </w:r>
      <w:r>
        <w:rPr>
          <w:rFonts w:hint="eastAsia" w:ascii="仿宋_GB2312" w:eastAsia="仿宋_GB2312"/>
          <w:sz w:val="32"/>
          <w:szCs w:val="32"/>
          <w:lang w:eastAsia="zh-CN"/>
        </w:rPr>
        <w:t>万亩耕地的防洪安全。绩效目标全面完成，</w:t>
      </w:r>
      <w:r>
        <w:rPr>
          <w:rFonts w:hint="eastAsia" w:ascii="仿宋_GB2312" w:eastAsia="仿宋_GB2312"/>
          <w:sz w:val="32"/>
          <w:szCs w:val="32"/>
          <w:lang w:val="en-US" w:eastAsia="zh-CN"/>
        </w:rPr>
        <w:t>没有偏离绩效目标</w:t>
      </w:r>
      <w:r>
        <w:rPr>
          <w:rFonts w:hint="eastAsia" w:ascii="仿宋_GB2312"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五、其他需要说明的问题</w:t>
      </w:r>
    </w:p>
    <w:p>
      <w:pPr>
        <w:pStyle w:val="2"/>
        <w:keepNext w:val="0"/>
        <w:keepLines w:val="0"/>
        <w:pageBreakBefore w:val="0"/>
        <w:widowControl w:val="0"/>
        <w:kinsoku/>
        <w:wordWrap/>
        <w:overflowPunct/>
        <w:topLinePunct w:val="0"/>
        <w:autoSpaceDE/>
        <w:autoSpaceDN/>
        <w:bidi w:val="0"/>
        <w:adjustRightInd/>
        <w:snapToGrid/>
        <w:spacing w:before="0" w:afterLines="0" w:line="600" w:lineRule="exact"/>
        <w:ind w:firstLine="640" w:firstLineChars="200"/>
        <w:textAlignment w:val="auto"/>
        <w:rPr>
          <w:rFonts w:hint="default"/>
          <w:lang w:val="en-US" w:eastAsia="zh-CN"/>
        </w:rPr>
      </w:pPr>
      <w:r>
        <w:rPr>
          <w:rFonts w:hint="eastAsia" w:ascii="仿宋_GB2312" w:hAnsi="Times New Roman" w:eastAsia="仿宋_GB2312" w:cs="Times New Roman"/>
          <w:kern w:val="2"/>
          <w:sz w:val="32"/>
          <w:szCs w:val="32"/>
          <w:lang w:val="en-US" w:eastAsia="zh-CN" w:bidi="ar-SA"/>
        </w:rPr>
        <w:t>无。</w:t>
      </w:r>
    </w:p>
    <w:p>
      <w:pPr>
        <w:spacing w:after="93"/>
      </w:pPr>
    </w:p>
    <w:sectPr>
      <w:headerReference r:id="rId7" w:type="first"/>
      <w:footerReference r:id="rId10" w:type="first"/>
      <w:headerReference r:id="rId5" w:type="default"/>
      <w:footerReference r:id="rId8" w:type="default"/>
      <w:headerReference r:id="rId6" w:type="even"/>
      <w:footerReference r:id="rId9" w:type="even"/>
      <w:pgSz w:w="11906" w:h="16838"/>
      <w:pgMar w:top="1701" w:right="1587" w:bottom="1701" w:left="158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after="7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F83B8D"/>
    <w:multiLevelType w:val="singleLevel"/>
    <w:tmpl w:val="DCF83B8D"/>
    <w:lvl w:ilvl="0" w:tentative="0">
      <w:start w:val="2"/>
      <w:numFmt w:val="decimal"/>
      <w:suff w:val="nothing"/>
      <w:lvlText w:val="%1、"/>
      <w:lvlJc w:val="left"/>
    </w:lvl>
  </w:abstractNum>
  <w:abstractNum w:abstractNumId="1">
    <w:nsid w:val="DD6208BF"/>
    <w:multiLevelType w:val="singleLevel"/>
    <w:tmpl w:val="DD6208BF"/>
    <w:lvl w:ilvl="0" w:tentative="0">
      <w:start w:val="1"/>
      <w:numFmt w:val="chineseCounting"/>
      <w:suff w:val="nothing"/>
      <w:lvlText w:val="%1、"/>
      <w:lvlJc w:val="left"/>
      <w:rPr>
        <w:rFonts w:hint="eastAsia"/>
      </w:rPr>
    </w:lvl>
  </w:abstractNum>
  <w:abstractNum w:abstractNumId="2">
    <w:nsid w:val="2DF2AF5F"/>
    <w:multiLevelType w:val="singleLevel"/>
    <w:tmpl w:val="2DF2AF5F"/>
    <w:lvl w:ilvl="0" w:tentative="0">
      <w:start w:val="3"/>
      <w:numFmt w:val="decimal"/>
      <w:suff w:val="nothing"/>
      <w:lvlText w:val="（%1）"/>
      <w:lvlJc w:val="left"/>
    </w:lvl>
  </w:abstractNum>
  <w:abstractNum w:abstractNumId="3">
    <w:nsid w:val="62842A02"/>
    <w:multiLevelType w:val="multilevel"/>
    <w:tmpl w:val="62842A02"/>
    <w:lvl w:ilvl="0" w:tentative="0">
      <w:start w:val="1"/>
      <w:numFmt w:val="none"/>
      <w:pStyle w:val="3"/>
      <w:suff w:val="nothing"/>
      <w:lvlText w:val="第4章"/>
      <w:lvlJc w:val="left"/>
      <w:pPr>
        <w:ind w:left="0" w:firstLine="0"/>
      </w:pPr>
      <w:rPr>
        <w:rFonts w:hint="eastAsia"/>
      </w:rPr>
    </w:lvl>
    <w:lvl w:ilvl="1" w:tentative="0">
      <w:start w:val="1"/>
      <w:numFmt w:val="none"/>
      <w:pStyle w:val="4"/>
      <w:suff w:val="nothing"/>
      <w:lvlText w:val=""/>
      <w:lvlJc w:val="left"/>
      <w:pPr>
        <w:ind w:left="0" w:firstLine="0"/>
      </w:pPr>
      <w:rPr>
        <w:rFonts w:hint="eastAsia"/>
      </w:rPr>
    </w:lvl>
    <w:lvl w:ilvl="2" w:tentative="0">
      <w:start w:val="1"/>
      <w:numFmt w:val="none"/>
      <w:pStyle w:val="5"/>
      <w:suff w:val="nothing"/>
      <w:lvlText w:val=""/>
      <w:lvlJc w:val="left"/>
      <w:pPr>
        <w:ind w:left="0" w:firstLine="0"/>
      </w:pPr>
      <w:rPr>
        <w:rFonts w:hint="eastAsia"/>
      </w:rPr>
    </w:lvl>
    <w:lvl w:ilvl="3" w:tentative="0">
      <w:start w:val="1"/>
      <w:numFmt w:val="none"/>
      <w:pStyle w:val="6"/>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jBhNzFjZmM4Y2E5ZWQxMTYxOGQzODBhY2RjYTgifQ=="/>
  </w:docVars>
  <w:rsids>
    <w:rsidRoot w:val="00535683"/>
    <w:rsid w:val="000044E9"/>
    <w:rsid w:val="00217548"/>
    <w:rsid w:val="00236210"/>
    <w:rsid w:val="00267B04"/>
    <w:rsid w:val="002F7BC7"/>
    <w:rsid w:val="00321F6D"/>
    <w:rsid w:val="00372C81"/>
    <w:rsid w:val="00535683"/>
    <w:rsid w:val="00570703"/>
    <w:rsid w:val="005E557D"/>
    <w:rsid w:val="007858C9"/>
    <w:rsid w:val="009C43C5"/>
    <w:rsid w:val="00D61C4C"/>
    <w:rsid w:val="00DC71F6"/>
    <w:rsid w:val="00DE5E9D"/>
    <w:rsid w:val="00DF11F8"/>
    <w:rsid w:val="00E32B12"/>
    <w:rsid w:val="0116312F"/>
    <w:rsid w:val="020C008E"/>
    <w:rsid w:val="0280307E"/>
    <w:rsid w:val="05791EDF"/>
    <w:rsid w:val="19FE255B"/>
    <w:rsid w:val="1B6C5108"/>
    <w:rsid w:val="1C3B7A96"/>
    <w:rsid w:val="1D062014"/>
    <w:rsid w:val="1D5801D4"/>
    <w:rsid w:val="23610EDA"/>
    <w:rsid w:val="240B0C2B"/>
    <w:rsid w:val="24A223AD"/>
    <w:rsid w:val="2815563F"/>
    <w:rsid w:val="31E16592"/>
    <w:rsid w:val="3529097C"/>
    <w:rsid w:val="3B2A2D58"/>
    <w:rsid w:val="3CD411CD"/>
    <w:rsid w:val="3FAA090B"/>
    <w:rsid w:val="444D481C"/>
    <w:rsid w:val="48C52312"/>
    <w:rsid w:val="4CE63479"/>
    <w:rsid w:val="4D135D42"/>
    <w:rsid w:val="4EBE7F2F"/>
    <w:rsid w:val="4F3B48ED"/>
    <w:rsid w:val="4FBA24A4"/>
    <w:rsid w:val="505428F9"/>
    <w:rsid w:val="519A07DF"/>
    <w:rsid w:val="577E200A"/>
    <w:rsid w:val="58FE78A6"/>
    <w:rsid w:val="5B286E5C"/>
    <w:rsid w:val="5C702869"/>
    <w:rsid w:val="5ED52DBA"/>
    <w:rsid w:val="74033B6B"/>
    <w:rsid w:val="756259E8"/>
    <w:rsid w:val="76852F5D"/>
    <w:rsid w:val="79B37DE1"/>
    <w:rsid w:val="7ACB4CB6"/>
    <w:rsid w:val="7D224654"/>
    <w:rsid w:val="7EDB6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0" w:afterLines="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0"/>
    <w:pPr>
      <w:keepNext/>
      <w:keepLines/>
      <w:numPr>
        <w:ilvl w:val="0"/>
        <w:numId w:val="1"/>
      </w:numPr>
      <w:spacing w:before="340" w:afterLines="30" w:line="578" w:lineRule="auto"/>
      <w:outlineLvl w:val="0"/>
    </w:pPr>
    <w:rPr>
      <w:b/>
      <w:bCs/>
      <w:kern w:val="44"/>
      <w:sz w:val="44"/>
      <w:szCs w:val="44"/>
    </w:rPr>
  </w:style>
  <w:style w:type="paragraph" w:styleId="4">
    <w:name w:val="heading 2"/>
    <w:basedOn w:val="1"/>
    <w:next w:val="1"/>
    <w:link w:val="19"/>
    <w:qFormat/>
    <w:uiPriority w:val="0"/>
    <w:pPr>
      <w:keepNext/>
      <w:keepLines/>
      <w:numPr>
        <w:ilvl w:val="1"/>
        <w:numId w:val="1"/>
      </w:numPr>
      <w:spacing w:before="260" w:afterLines="30" w:line="416" w:lineRule="auto"/>
      <w:outlineLvl w:val="1"/>
    </w:pPr>
    <w:rPr>
      <w:rFonts w:ascii="Arial" w:hAnsi="Arial" w:eastAsia="黑体" w:cstheme="majorBidi"/>
      <w:b/>
      <w:bCs/>
      <w:sz w:val="32"/>
      <w:szCs w:val="32"/>
    </w:rPr>
  </w:style>
  <w:style w:type="paragraph" w:styleId="5">
    <w:name w:val="heading 3"/>
    <w:basedOn w:val="1"/>
    <w:next w:val="1"/>
    <w:link w:val="20"/>
    <w:autoRedefine/>
    <w:qFormat/>
    <w:uiPriority w:val="0"/>
    <w:pPr>
      <w:keepNext/>
      <w:keepLines/>
      <w:numPr>
        <w:ilvl w:val="2"/>
        <w:numId w:val="1"/>
      </w:numPr>
      <w:spacing w:before="260" w:afterLines="30" w:line="416" w:lineRule="auto"/>
      <w:outlineLvl w:val="2"/>
    </w:pPr>
    <w:rPr>
      <w:b/>
      <w:bCs/>
      <w:sz w:val="32"/>
      <w:szCs w:val="32"/>
    </w:rPr>
  </w:style>
  <w:style w:type="paragraph" w:styleId="6">
    <w:name w:val="heading 4"/>
    <w:basedOn w:val="1"/>
    <w:next w:val="1"/>
    <w:link w:val="21"/>
    <w:qFormat/>
    <w:uiPriority w:val="0"/>
    <w:pPr>
      <w:keepNext/>
      <w:keepLines/>
      <w:numPr>
        <w:ilvl w:val="3"/>
        <w:numId w:val="1"/>
      </w:numPr>
      <w:spacing w:before="280" w:afterLines="30" w:line="376" w:lineRule="auto"/>
      <w:outlineLvl w:val="3"/>
    </w:pPr>
    <w:rPr>
      <w:rFonts w:ascii="Arial" w:hAnsi="Arial" w:eastAsia="黑体" w:cstheme="majorBidi"/>
      <w:b/>
      <w:bCs/>
      <w:sz w:val="28"/>
      <w:szCs w:val="28"/>
    </w:rPr>
  </w:style>
  <w:style w:type="paragraph" w:styleId="7">
    <w:name w:val="heading 5"/>
    <w:basedOn w:val="1"/>
    <w:next w:val="1"/>
    <w:link w:val="22"/>
    <w:qFormat/>
    <w:uiPriority w:val="0"/>
    <w:pPr>
      <w:keepNext/>
      <w:keepLines/>
      <w:numPr>
        <w:ilvl w:val="4"/>
        <w:numId w:val="1"/>
      </w:numPr>
      <w:spacing w:before="280" w:afterLines="30" w:line="376" w:lineRule="auto"/>
      <w:outlineLvl w:val="4"/>
    </w:pPr>
    <w:rPr>
      <w:b/>
      <w:bCs/>
      <w:sz w:val="28"/>
      <w:szCs w:val="28"/>
    </w:rPr>
  </w:style>
  <w:style w:type="paragraph" w:styleId="8">
    <w:name w:val="heading 6"/>
    <w:basedOn w:val="1"/>
    <w:next w:val="1"/>
    <w:link w:val="23"/>
    <w:autoRedefine/>
    <w:qFormat/>
    <w:uiPriority w:val="0"/>
    <w:pPr>
      <w:keepNext/>
      <w:keepLines/>
      <w:numPr>
        <w:ilvl w:val="5"/>
        <w:numId w:val="1"/>
      </w:numPr>
      <w:spacing w:before="240" w:afterLines="30" w:line="320" w:lineRule="auto"/>
      <w:outlineLvl w:val="5"/>
    </w:pPr>
    <w:rPr>
      <w:rFonts w:ascii="Arial" w:hAnsi="Arial" w:eastAsia="黑体" w:cstheme="majorBidi"/>
      <w:b/>
      <w:bCs/>
      <w:sz w:val="24"/>
    </w:rPr>
  </w:style>
  <w:style w:type="paragraph" w:styleId="9">
    <w:name w:val="heading 7"/>
    <w:basedOn w:val="1"/>
    <w:next w:val="1"/>
    <w:link w:val="24"/>
    <w:autoRedefine/>
    <w:qFormat/>
    <w:uiPriority w:val="0"/>
    <w:pPr>
      <w:keepNext/>
      <w:keepLines/>
      <w:numPr>
        <w:ilvl w:val="6"/>
        <w:numId w:val="1"/>
      </w:numPr>
      <w:spacing w:before="240" w:afterLines="30" w:line="320" w:lineRule="auto"/>
      <w:outlineLvl w:val="6"/>
    </w:pPr>
    <w:rPr>
      <w:b/>
      <w:bCs/>
      <w:sz w:val="24"/>
    </w:rPr>
  </w:style>
  <w:style w:type="paragraph" w:styleId="10">
    <w:name w:val="heading 8"/>
    <w:basedOn w:val="1"/>
    <w:next w:val="1"/>
    <w:link w:val="25"/>
    <w:autoRedefine/>
    <w:qFormat/>
    <w:uiPriority w:val="0"/>
    <w:pPr>
      <w:keepNext/>
      <w:keepLines/>
      <w:numPr>
        <w:ilvl w:val="7"/>
        <w:numId w:val="1"/>
      </w:numPr>
      <w:spacing w:before="240" w:afterLines="30" w:line="320" w:lineRule="auto"/>
      <w:outlineLvl w:val="7"/>
    </w:pPr>
    <w:rPr>
      <w:rFonts w:ascii="Arial" w:hAnsi="Arial" w:eastAsia="黑体" w:cstheme="majorBidi"/>
      <w:sz w:val="24"/>
    </w:rPr>
  </w:style>
  <w:style w:type="paragraph" w:styleId="11">
    <w:name w:val="heading 9"/>
    <w:basedOn w:val="1"/>
    <w:next w:val="1"/>
    <w:link w:val="26"/>
    <w:qFormat/>
    <w:uiPriority w:val="0"/>
    <w:pPr>
      <w:keepNext/>
      <w:keepLines/>
      <w:numPr>
        <w:ilvl w:val="8"/>
        <w:numId w:val="1"/>
      </w:numPr>
      <w:spacing w:before="240" w:afterLines="30" w:line="320" w:lineRule="auto"/>
      <w:outlineLvl w:val="8"/>
    </w:pPr>
    <w:rPr>
      <w:rFonts w:ascii="Arial" w:hAnsi="Arial" w:eastAsia="黑体" w:cstheme="majorBidi"/>
      <w:szCs w:val="21"/>
    </w:rPr>
  </w:style>
  <w:style w:type="character" w:default="1" w:styleId="16">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1"/>
    <w:pPr>
      <w:spacing w:before="30" w:afterLines="30" w:line="320" w:lineRule="exact"/>
    </w:pPr>
    <w:rPr>
      <w:rFonts w:ascii="宋体" w:hAnsi="宋体" w:cs="宋体"/>
      <w:sz w:val="24"/>
      <w:lang w:val="zh-CN" w:bidi="zh-CN"/>
    </w:rPr>
  </w:style>
  <w:style w:type="paragraph" w:styleId="12">
    <w:name w:val="footer"/>
    <w:basedOn w:val="1"/>
    <w:link w:val="30"/>
    <w:qFormat/>
    <w:uiPriority w:val="0"/>
    <w:pPr>
      <w:tabs>
        <w:tab w:val="center" w:pos="4153"/>
        <w:tab w:val="right" w:pos="8306"/>
      </w:tabs>
      <w:snapToGrid w:val="0"/>
      <w:spacing w:before="30" w:afterLines="30" w:line="320" w:lineRule="exact"/>
      <w:jc w:val="left"/>
    </w:pPr>
    <w:rPr>
      <w:sz w:val="18"/>
      <w:szCs w:val="18"/>
    </w:rPr>
  </w:style>
  <w:style w:type="paragraph" w:styleId="13">
    <w:name w:val="header"/>
    <w:basedOn w:val="1"/>
    <w:link w:val="37"/>
    <w:semiHidden/>
    <w:unhideWhenUsed/>
    <w:qFormat/>
    <w:uiPriority w:val="99"/>
    <w:pPr>
      <w:pBdr>
        <w:bottom w:val="single" w:color="auto" w:sz="6" w:space="1"/>
      </w:pBdr>
      <w:tabs>
        <w:tab w:val="center" w:pos="4153"/>
        <w:tab w:val="right" w:pos="8306"/>
      </w:tabs>
      <w:snapToGrid w:val="0"/>
      <w:spacing w:before="30" w:afterLines="30" w:line="240" w:lineRule="atLeast"/>
      <w:jc w:val="center"/>
    </w:pPr>
    <w:rPr>
      <w:sz w:val="18"/>
      <w:szCs w:val="18"/>
    </w:rPr>
  </w:style>
  <w:style w:type="paragraph" w:styleId="14">
    <w:name w:val="Title"/>
    <w:basedOn w:val="1"/>
    <w:next w:val="1"/>
    <w:link w:val="32"/>
    <w:qFormat/>
    <w:uiPriority w:val="0"/>
    <w:pPr>
      <w:spacing w:before="240" w:afterLines="30" w:line="320" w:lineRule="exact"/>
      <w:jc w:val="center"/>
      <w:outlineLvl w:val="0"/>
    </w:pPr>
    <w:rPr>
      <w:rFonts w:ascii="Cambria" w:hAnsi="Cambria"/>
      <w:b/>
      <w:bCs/>
      <w:sz w:val="32"/>
      <w:szCs w:val="32"/>
    </w:rPr>
  </w:style>
  <w:style w:type="character" w:styleId="17">
    <w:name w:val="Strong"/>
    <w:basedOn w:val="16"/>
    <w:autoRedefine/>
    <w:qFormat/>
    <w:uiPriority w:val="0"/>
    <w:rPr>
      <w:b/>
      <w:bCs/>
    </w:rPr>
  </w:style>
  <w:style w:type="character" w:customStyle="1" w:styleId="18">
    <w:name w:val="标题 1 Char"/>
    <w:link w:val="3"/>
    <w:autoRedefine/>
    <w:qFormat/>
    <w:uiPriority w:val="0"/>
    <w:rPr>
      <w:b/>
      <w:bCs/>
      <w:kern w:val="44"/>
      <w:sz w:val="44"/>
      <w:szCs w:val="44"/>
    </w:rPr>
  </w:style>
  <w:style w:type="character" w:customStyle="1" w:styleId="19">
    <w:name w:val="标题 2 Char"/>
    <w:link w:val="4"/>
    <w:qFormat/>
    <w:uiPriority w:val="0"/>
    <w:rPr>
      <w:rFonts w:ascii="Arial" w:hAnsi="Arial" w:eastAsia="黑体" w:cstheme="majorBidi"/>
      <w:b/>
      <w:bCs/>
      <w:kern w:val="2"/>
      <w:sz w:val="32"/>
      <w:szCs w:val="32"/>
    </w:rPr>
  </w:style>
  <w:style w:type="character" w:customStyle="1" w:styleId="20">
    <w:name w:val="标题 3 Char"/>
    <w:link w:val="5"/>
    <w:qFormat/>
    <w:uiPriority w:val="0"/>
    <w:rPr>
      <w:b/>
      <w:bCs/>
      <w:kern w:val="2"/>
      <w:sz w:val="32"/>
      <w:szCs w:val="32"/>
    </w:rPr>
  </w:style>
  <w:style w:type="character" w:customStyle="1" w:styleId="21">
    <w:name w:val="标题 4 Char"/>
    <w:link w:val="6"/>
    <w:autoRedefine/>
    <w:qFormat/>
    <w:uiPriority w:val="0"/>
    <w:rPr>
      <w:rFonts w:ascii="Arial" w:hAnsi="Arial" w:eastAsia="黑体" w:cstheme="majorBidi"/>
      <w:b/>
      <w:bCs/>
      <w:kern w:val="2"/>
      <w:sz w:val="28"/>
      <w:szCs w:val="28"/>
    </w:rPr>
  </w:style>
  <w:style w:type="character" w:customStyle="1" w:styleId="22">
    <w:name w:val="标题 5 Char"/>
    <w:link w:val="7"/>
    <w:qFormat/>
    <w:uiPriority w:val="0"/>
    <w:rPr>
      <w:b/>
      <w:bCs/>
      <w:kern w:val="2"/>
      <w:sz w:val="28"/>
      <w:szCs w:val="28"/>
    </w:rPr>
  </w:style>
  <w:style w:type="character" w:customStyle="1" w:styleId="23">
    <w:name w:val="标题 6 Char"/>
    <w:link w:val="8"/>
    <w:qFormat/>
    <w:uiPriority w:val="0"/>
    <w:rPr>
      <w:rFonts w:ascii="Arial" w:hAnsi="Arial" w:eastAsia="黑体" w:cstheme="majorBidi"/>
      <w:b/>
      <w:bCs/>
      <w:kern w:val="2"/>
      <w:sz w:val="24"/>
      <w:szCs w:val="24"/>
    </w:rPr>
  </w:style>
  <w:style w:type="character" w:customStyle="1" w:styleId="24">
    <w:name w:val="标题 7 Char"/>
    <w:link w:val="9"/>
    <w:autoRedefine/>
    <w:qFormat/>
    <w:uiPriority w:val="0"/>
    <w:rPr>
      <w:b/>
      <w:bCs/>
      <w:kern w:val="2"/>
      <w:sz w:val="24"/>
      <w:szCs w:val="24"/>
    </w:rPr>
  </w:style>
  <w:style w:type="character" w:customStyle="1" w:styleId="25">
    <w:name w:val="标题 8 Char"/>
    <w:link w:val="10"/>
    <w:qFormat/>
    <w:uiPriority w:val="0"/>
    <w:rPr>
      <w:rFonts w:ascii="Arial" w:hAnsi="Arial" w:eastAsia="黑体" w:cstheme="majorBidi"/>
      <w:kern w:val="2"/>
      <w:sz w:val="24"/>
      <w:szCs w:val="24"/>
    </w:rPr>
  </w:style>
  <w:style w:type="character" w:customStyle="1" w:styleId="26">
    <w:name w:val="标题 9 Char"/>
    <w:link w:val="11"/>
    <w:qFormat/>
    <w:uiPriority w:val="0"/>
    <w:rPr>
      <w:rFonts w:ascii="Arial" w:hAnsi="Arial" w:eastAsia="黑体" w:cstheme="majorBidi"/>
      <w:kern w:val="2"/>
      <w:sz w:val="21"/>
      <w:szCs w:val="21"/>
    </w:rPr>
  </w:style>
  <w:style w:type="paragraph" w:styleId="27">
    <w:name w:val="No Spacing"/>
    <w:link w:val="28"/>
    <w:qFormat/>
    <w:uiPriority w:val="1"/>
    <w:pPr>
      <w:widowControl w:val="0"/>
      <w:spacing w:before="30" w:afterLines="30" w:line="320" w:lineRule="exact"/>
      <w:jc w:val="both"/>
    </w:pPr>
    <w:rPr>
      <w:rFonts w:ascii="Times New Roman" w:hAnsi="Times New Roman" w:eastAsia="宋体" w:cs="Times New Roman"/>
      <w:kern w:val="2"/>
      <w:sz w:val="21"/>
      <w:szCs w:val="24"/>
      <w:lang w:val="en-US" w:eastAsia="zh-CN" w:bidi="ar-SA"/>
    </w:rPr>
  </w:style>
  <w:style w:type="character" w:customStyle="1" w:styleId="28">
    <w:name w:val="无间隔 Char"/>
    <w:basedOn w:val="16"/>
    <w:link w:val="27"/>
    <w:autoRedefine/>
    <w:qFormat/>
    <w:uiPriority w:val="1"/>
    <w:rPr>
      <w:kern w:val="2"/>
      <w:sz w:val="21"/>
      <w:szCs w:val="24"/>
    </w:rPr>
  </w:style>
  <w:style w:type="paragraph" w:styleId="29">
    <w:name w:val="List Paragraph"/>
    <w:basedOn w:val="1"/>
    <w:qFormat/>
    <w:uiPriority w:val="34"/>
    <w:pPr>
      <w:spacing w:before="30" w:afterLines="30" w:line="320" w:lineRule="exact"/>
      <w:ind w:firstLine="420" w:firstLineChars="200"/>
    </w:pPr>
  </w:style>
  <w:style w:type="character" w:customStyle="1" w:styleId="30">
    <w:name w:val="页脚 Char"/>
    <w:basedOn w:val="16"/>
    <w:link w:val="12"/>
    <w:autoRedefine/>
    <w:qFormat/>
    <w:uiPriority w:val="0"/>
    <w:rPr>
      <w:kern w:val="2"/>
      <w:sz w:val="18"/>
      <w:szCs w:val="18"/>
    </w:rPr>
  </w:style>
  <w:style w:type="character" w:customStyle="1" w:styleId="31">
    <w:name w:val="正文文本 Char"/>
    <w:basedOn w:val="16"/>
    <w:link w:val="2"/>
    <w:qFormat/>
    <w:uiPriority w:val="1"/>
    <w:rPr>
      <w:rFonts w:ascii="宋体" w:hAnsi="宋体" w:cs="宋体"/>
      <w:kern w:val="2"/>
      <w:sz w:val="24"/>
      <w:szCs w:val="24"/>
      <w:lang w:val="zh-CN" w:bidi="zh-CN"/>
    </w:rPr>
  </w:style>
  <w:style w:type="character" w:customStyle="1" w:styleId="32">
    <w:name w:val="标题 Char"/>
    <w:link w:val="14"/>
    <w:autoRedefine/>
    <w:qFormat/>
    <w:uiPriority w:val="0"/>
    <w:rPr>
      <w:rFonts w:ascii="Cambria" w:hAnsi="Cambria" w:cs="Times New Roman"/>
      <w:b/>
      <w:bCs/>
      <w:kern w:val="2"/>
      <w:sz w:val="32"/>
      <w:szCs w:val="32"/>
    </w:rPr>
  </w:style>
  <w:style w:type="paragraph" w:customStyle="1" w:styleId="33">
    <w:name w:val="正文(塘坝)齐波波"/>
    <w:link w:val="34"/>
    <w:autoRedefine/>
    <w:qFormat/>
    <w:uiPriority w:val="0"/>
    <w:pPr>
      <w:widowControl w:val="0"/>
      <w:adjustRightInd w:val="0"/>
      <w:snapToGrid w:val="0"/>
      <w:spacing w:before="30" w:afterLines="30" w:line="360" w:lineRule="auto"/>
      <w:ind w:firstLine="480" w:firstLineChars="200"/>
      <w:jc w:val="both"/>
    </w:pPr>
    <w:rPr>
      <w:rFonts w:ascii="宋体" w:hAnsi="宋体" w:eastAsia="宋体" w:cs="宋体"/>
      <w:snapToGrid w:val="0"/>
      <w:color w:val="00FF00"/>
      <w:kern w:val="2"/>
      <w:sz w:val="24"/>
      <w:szCs w:val="30"/>
      <w:lang w:val="zh-CN" w:eastAsia="zh-CN" w:bidi="ar-SA"/>
    </w:rPr>
  </w:style>
  <w:style w:type="character" w:customStyle="1" w:styleId="34">
    <w:name w:val="正文(塘坝)齐波波 Char"/>
    <w:link w:val="33"/>
    <w:autoRedefine/>
    <w:qFormat/>
    <w:uiPriority w:val="0"/>
    <w:rPr>
      <w:rFonts w:ascii="宋体" w:hAnsi="宋体" w:cs="宋体"/>
      <w:snapToGrid w:val="0"/>
      <w:color w:val="00FF00"/>
      <w:kern w:val="2"/>
      <w:sz w:val="24"/>
      <w:szCs w:val="30"/>
      <w:lang w:val="zh-CN"/>
    </w:rPr>
  </w:style>
  <w:style w:type="paragraph" w:customStyle="1" w:styleId="35">
    <w:name w:val="表格五号"/>
    <w:basedOn w:val="1"/>
    <w:next w:val="1"/>
    <w:link w:val="36"/>
    <w:qFormat/>
    <w:uiPriority w:val="0"/>
    <w:pPr>
      <w:widowControl/>
      <w:adjustRightInd w:val="0"/>
      <w:snapToGrid w:val="0"/>
      <w:spacing w:before="30" w:afterLines="30" w:line="320" w:lineRule="exact"/>
      <w:jc w:val="center"/>
    </w:pPr>
    <w:rPr>
      <w:rFonts w:ascii="宋体" w:hAnsi="宋体"/>
      <w:color w:val="800080"/>
      <w:kern w:val="0"/>
      <w:sz w:val="20"/>
      <w:szCs w:val="21"/>
    </w:rPr>
  </w:style>
  <w:style w:type="character" w:customStyle="1" w:styleId="36">
    <w:name w:val="表格五号 Char"/>
    <w:link w:val="35"/>
    <w:autoRedefine/>
    <w:qFormat/>
    <w:uiPriority w:val="0"/>
    <w:rPr>
      <w:rFonts w:ascii="宋体" w:hAnsi="宋体"/>
      <w:color w:val="800080"/>
      <w:szCs w:val="21"/>
    </w:rPr>
  </w:style>
  <w:style w:type="character" w:customStyle="1" w:styleId="37">
    <w:name w:val="页眉 Char"/>
    <w:basedOn w:val="16"/>
    <w:link w:val="1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2108</Words>
  <Characters>2282</Characters>
  <Lines>2</Lines>
  <Paragraphs>1</Paragraphs>
  <TotalTime>455</TotalTime>
  <ScaleCrop>false</ScaleCrop>
  <LinksUpToDate>false</LinksUpToDate>
  <CharactersWithSpaces>2287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2020-01-09T06:51:00Z</dcterms:created>
  <dc:creator>lenovo</dc:creator>
  <cp:lastModifiedBy>图南未可料</cp:lastModifiedBy>
  <cp:lastPrinted>2023-04-18T07:58:00Z</cp:lastPrinted>
  <dcterms:modified xsi:type="dcterms:W3CDTF">2024-03-18T09:51:19Z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D3C373854E99434B9096D0E266B10BD9_13</vt:lpwstr>
  </property>
</Properties>
</file>