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FE558">
      <w:pPr>
        <w:pStyle w:val="2"/>
        <w:numPr>
          <w:ilvl w:val="0"/>
          <w:numId w:val="0"/>
        </w:numPr>
        <w:bidi w:val="0"/>
        <w:ind w:leftChars="0" w:firstLine="1800" w:firstLineChars="500"/>
        <w:jc w:val="both"/>
        <w:rPr>
          <w:rFonts w:hint="eastAsia"/>
          <w:sz w:val="36"/>
          <w:szCs w:val="36"/>
          <w:lang w:val="en-US" w:eastAsia="zh-CN"/>
        </w:rPr>
      </w:pPr>
      <w:r>
        <w:rPr>
          <w:rFonts w:hint="eastAsia"/>
          <w:sz w:val="36"/>
          <w:szCs w:val="36"/>
          <w:lang w:val="en-US" w:eastAsia="zh-CN"/>
        </w:rPr>
        <w:t>财政项目支出绩效自评价报告</w:t>
      </w:r>
    </w:p>
    <w:p w14:paraId="26EA884C">
      <w:pPr>
        <w:jc w:val="center"/>
        <w:rPr>
          <w:rFonts w:hint="default"/>
          <w:spacing w:val="-11"/>
          <w:lang w:val="en-US" w:eastAsia="zh-CN"/>
        </w:rPr>
      </w:pPr>
      <w:r>
        <w:rPr>
          <w:rFonts w:hint="eastAsia" w:ascii="楷体_GB2312" w:hAnsi="楷体_GB2312" w:eastAsia="楷体_GB2312" w:cs="楷体_GB2312"/>
          <w:spacing w:val="-11"/>
          <w:w w:val="90"/>
          <w:sz w:val="36"/>
          <w:szCs w:val="36"/>
          <w:lang w:val="en-US" w:eastAsia="zh-CN"/>
        </w:rPr>
        <w:t>临泽县小型水利建设项目2023年黑河沿岸灌区水毁修复工程</w:t>
      </w:r>
    </w:p>
    <w:p w14:paraId="6CB096FC">
      <w:pPr>
        <w:jc w:val="both"/>
        <w:rPr>
          <w:rFonts w:hint="default"/>
          <w:lang w:val="en-US" w:eastAsia="zh-CN"/>
        </w:rPr>
      </w:pPr>
    </w:p>
    <w:p w14:paraId="6E0F0903">
      <w:pPr>
        <w:numPr>
          <w:ilvl w:val="0"/>
          <w:numId w:val="2"/>
        </w:numPr>
        <w:ind w:firstLine="640" w:firstLineChars="200"/>
        <w:jc w:val="both"/>
        <w:rPr>
          <w:rFonts w:hint="eastAsia" w:ascii="黑体" w:hAnsi="黑体" w:eastAsia="黑体" w:cs="黑体"/>
          <w:lang w:val="en-US" w:eastAsia="zh-CN"/>
        </w:rPr>
      </w:pPr>
      <w:r>
        <w:rPr>
          <w:rFonts w:hint="eastAsia" w:ascii="黑体" w:hAnsi="黑体" w:eastAsia="黑体" w:cs="黑体"/>
          <w:lang w:val="en-US" w:eastAsia="zh-CN"/>
        </w:rPr>
        <w:t>项目基本情况</w:t>
      </w:r>
    </w:p>
    <w:p w14:paraId="487D31AC">
      <w:pPr>
        <w:numPr>
          <w:ilvl w:val="0"/>
          <w:numId w:val="3"/>
        </w:numPr>
        <w:ind w:left="640" w:leftChars="0" w:firstLine="0" w:firstLineChars="0"/>
        <w:jc w:val="both"/>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项目情况</w:t>
      </w:r>
    </w:p>
    <w:p w14:paraId="3D4AD3DF">
      <w:pPr>
        <w:numPr>
          <w:ilvl w:val="0"/>
          <w:numId w:val="0"/>
        </w:numPr>
        <w:ind w:firstLine="640"/>
        <w:jc w:val="both"/>
        <w:rPr>
          <w:rFonts w:hint="eastAsia"/>
          <w:lang w:val="en-US" w:eastAsia="zh-CN"/>
        </w:rPr>
      </w:pPr>
      <w:r>
        <w:rPr>
          <w:rFonts w:hint="eastAsia" w:ascii="仿宋_GB2312" w:hAnsi="仿宋_GB2312" w:eastAsia="仿宋_GB2312" w:cs="仿宋_GB2312"/>
          <w:color w:val="auto"/>
          <w:highlight w:val="none"/>
          <w:lang w:val="en-US" w:eastAsia="zh-CN"/>
        </w:rPr>
        <w:t>临泽县黑河沿岸蓼泉灌区蓼泉干渠引水口门溢流坝，鸭暖灌区鸭翅干渠引水口门拦河坝、永安干渠引水口门拦河坝，平川灌区三坝干渠引水口门拦河坝等几处干渠引水口门渠首建筑物及拦河坝受洪水冲击，破损严重，无法在灌溉期间正常引水，给各灌区正常农业生产灌溉带来极大安全隐患。</w:t>
      </w:r>
      <w:r>
        <w:rPr>
          <w:rFonts w:hint="eastAsia"/>
          <w:lang w:val="en-US" w:eastAsia="zh-CN"/>
        </w:rPr>
        <w:t>为有效改善农村水利基础设施条件，有效利用水资源，节水办委托张掖市甘兰水利水电建筑设计院经过详细的踏勘，编制了《临泽县小型水利建设项目2023年黑河沿岸灌区水毁修复工程初步设计报告》。</w:t>
      </w:r>
    </w:p>
    <w:p w14:paraId="5780839C">
      <w:pPr>
        <w:keepNext w:val="0"/>
        <w:keepLines w:val="0"/>
        <w:pageBreakBefore w:val="0"/>
        <w:widowControl w:val="0"/>
        <w:kinsoku/>
        <w:wordWrap/>
        <w:overflowPunct/>
        <w:topLinePunct w:val="0"/>
        <w:autoSpaceDE/>
        <w:autoSpaceDN/>
        <w:bidi w:val="0"/>
        <w:adjustRightInd w:val="0"/>
        <w:snapToGrid w:val="0"/>
        <w:spacing w:line="600" w:lineRule="exact"/>
        <w:ind w:firstLine="643"/>
        <w:textAlignment w:val="auto"/>
        <w:outlineLvl w:val="0"/>
        <w:rPr>
          <w:rFonts w:hint="eastAsia" w:ascii="仿宋_GB2312" w:hAnsi="Times New Roman" w:eastAsia="仿宋_GB2312" w:cs="Times New Roman"/>
          <w:b w:val="0"/>
          <w:bCs w:val="0"/>
          <w:kern w:val="2"/>
          <w:sz w:val="32"/>
          <w:szCs w:val="32"/>
          <w:lang w:val="en-US" w:eastAsia="zh-CN" w:bidi="ar-SA"/>
        </w:rPr>
      </w:pPr>
      <w:r>
        <w:rPr>
          <w:rFonts w:hint="eastAsia"/>
          <w:lang w:val="en-US" w:eastAsia="zh-CN"/>
        </w:rPr>
        <w:t>2023年3月15日，</w:t>
      </w:r>
      <w:r>
        <w:rPr>
          <w:rFonts w:hint="eastAsia" w:ascii="仿宋_GB2312" w:hAnsi="Times New Roman" w:cs="Times New Roman"/>
          <w:b w:val="0"/>
          <w:bCs w:val="0"/>
          <w:kern w:val="2"/>
          <w:sz w:val="32"/>
          <w:szCs w:val="32"/>
          <w:lang w:val="en-US" w:eastAsia="zh-CN" w:bidi="ar-SA"/>
        </w:rPr>
        <w:t>临泽县水务</w:t>
      </w:r>
      <w:r>
        <w:rPr>
          <w:rFonts w:hint="eastAsia" w:ascii="仿宋_GB2312" w:hAnsi="Times New Roman" w:eastAsia="仿宋_GB2312" w:cs="Times New Roman"/>
          <w:b w:val="0"/>
          <w:bCs w:val="0"/>
          <w:kern w:val="2"/>
          <w:sz w:val="32"/>
          <w:szCs w:val="32"/>
          <w:lang w:val="en-US" w:eastAsia="zh-CN" w:bidi="ar-SA"/>
        </w:rPr>
        <w:t>局以临水建字〔202</w:t>
      </w:r>
      <w:r>
        <w:rPr>
          <w:rFonts w:hint="eastAsia" w:ascii="仿宋_GB2312" w:hAnsi="Times New Roman" w:cs="Times New Roman"/>
          <w:b w:val="0"/>
          <w:bCs w:val="0"/>
          <w:kern w:val="2"/>
          <w:sz w:val="32"/>
          <w:szCs w:val="32"/>
          <w:lang w:val="en-US" w:eastAsia="zh-CN" w:bidi="ar-SA"/>
        </w:rPr>
        <w:t>3</w:t>
      </w:r>
      <w:r>
        <w:rPr>
          <w:rFonts w:hint="eastAsia" w:ascii="仿宋_GB2312" w:hAnsi="Times New Roman" w:eastAsia="仿宋_GB2312" w:cs="Times New Roman"/>
          <w:b w:val="0"/>
          <w:bCs w:val="0"/>
          <w:kern w:val="2"/>
          <w:sz w:val="32"/>
          <w:szCs w:val="32"/>
          <w:lang w:val="en-US" w:eastAsia="zh-CN" w:bidi="ar-SA"/>
        </w:rPr>
        <w:t>〕</w:t>
      </w:r>
      <w:r>
        <w:rPr>
          <w:rFonts w:hint="eastAsia" w:ascii="仿宋_GB2312" w:cs="Times New Roman"/>
          <w:b w:val="0"/>
          <w:bCs w:val="0"/>
          <w:kern w:val="2"/>
          <w:sz w:val="32"/>
          <w:szCs w:val="32"/>
          <w:lang w:val="en-US" w:eastAsia="zh-CN" w:bidi="ar-SA"/>
        </w:rPr>
        <w:t>1</w:t>
      </w:r>
      <w:r>
        <w:rPr>
          <w:rFonts w:hint="eastAsia" w:ascii="仿宋_GB2312" w:hAnsi="Times New Roman" w:cs="Times New Roman"/>
          <w:b w:val="0"/>
          <w:bCs w:val="0"/>
          <w:kern w:val="2"/>
          <w:sz w:val="32"/>
          <w:szCs w:val="32"/>
          <w:lang w:val="en-US" w:eastAsia="zh-CN" w:bidi="ar-SA"/>
        </w:rPr>
        <w:t>8</w:t>
      </w:r>
      <w:r>
        <w:rPr>
          <w:rFonts w:hint="eastAsia" w:ascii="仿宋_GB2312" w:hAnsi="Times New Roman" w:eastAsia="仿宋_GB2312" w:cs="Times New Roman"/>
          <w:b w:val="0"/>
          <w:bCs w:val="0"/>
          <w:kern w:val="2"/>
          <w:sz w:val="32"/>
          <w:szCs w:val="32"/>
          <w:lang w:val="en-US" w:eastAsia="zh-CN" w:bidi="ar-SA"/>
        </w:rPr>
        <w:t>号文件批复</w:t>
      </w:r>
      <w:r>
        <w:rPr>
          <w:rFonts w:hint="eastAsia" w:ascii="仿宋_GB2312" w:hAnsi="Times New Roman" w:cs="Times New Roman"/>
          <w:b w:val="0"/>
          <w:bCs w:val="0"/>
          <w:kern w:val="2"/>
          <w:sz w:val="32"/>
          <w:szCs w:val="32"/>
          <w:lang w:val="en-US" w:eastAsia="zh-CN" w:bidi="ar-SA"/>
        </w:rPr>
        <w:t>工程实施</w:t>
      </w:r>
      <w:r>
        <w:rPr>
          <w:rFonts w:hint="eastAsia" w:ascii="仿宋_GB2312" w:hAnsi="Times New Roman" w:eastAsia="仿宋_GB2312" w:cs="Times New Roman"/>
          <w:b w:val="0"/>
          <w:bCs w:val="0"/>
          <w:kern w:val="2"/>
          <w:sz w:val="32"/>
          <w:szCs w:val="32"/>
          <w:lang w:val="en-US" w:eastAsia="zh-CN" w:bidi="ar-SA"/>
        </w:rPr>
        <w:t>，工程主要建设内容为</w:t>
      </w:r>
      <w:r>
        <w:rPr>
          <w:rFonts w:hint="eastAsia" w:ascii="仿宋_GB2312" w:hAnsi="Times New Roman" w:cs="Times New Roman"/>
          <w:b w:val="0"/>
          <w:bCs w:val="0"/>
          <w:kern w:val="2"/>
          <w:sz w:val="32"/>
          <w:szCs w:val="32"/>
          <w:lang w:val="en-US" w:eastAsia="zh-CN" w:bidi="ar-SA"/>
        </w:rPr>
        <w:t>：</w:t>
      </w:r>
      <w:r>
        <w:rPr>
          <w:rFonts w:hint="eastAsia" w:ascii="仿宋_GB2312" w:hAnsi="Times New Roman" w:eastAsia="仿宋_GB2312" w:cs="Times New Roman"/>
          <w:b w:val="0"/>
          <w:bCs w:val="0"/>
          <w:kern w:val="2"/>
          <w:sz w:val="32"/>
          <w:szCs w:val="32"/>
          <w:lang w:val="en-US" w:eastAsia="zh-CN" w:bidi="ar-SA"/>
        </w:rPr>
        <w:t>维修加固蓼泉灌区蓼泉干渠引水口门、鸭暖灌区鸭翅干渠引水口门、永安干渠渠首拦河坝、平川灌区三坝干渠引水口门、渠首拦河坝等。工程批复总投资</w:t>
      </w:r>
      <w:r>
        <w:rPr>
          <w:rFonts w:hint="eastAsia" w:ascii="仿宋_GB2312" w:cs="Times New Roman"/>
          <w:b w:val="0"/>
          <w:bCs w:val="0"/>
          <w:kern w:val="2"/>
          <w:sz w:val="32"/>
          <w:szCs w:val="32"/>
          <w:lang w:val="en-US" w:eastAsia="zh-CN" w:bidi="ar-SA"/>
        </w:rPr>
        <w:t>159.96</w:t>
      </w:r>
      <w:r>
        <w:rPr>
          <w:rFonts w:hint="eastAsia" w:ascii="仿宋_GB2312" w:hAnsi="Times New Roman" w:eastAsia="仿宋_GB2312" w:cs="Times New Roman"/>
          <w:b w:val="0"/>
          <w:bCs w:val="0"/>
          <w:kern w:val="2"/>
          <w:sz w:val="32"/>
          <w:szCs w:val="32"/>
          <w:lang w:val="en-US" w:eastAsia="zh-CN" w:bidi="ar-SA"/>
        </w:rPr>
        <w:t>万元。</w:t>
      </w:r>
    </w:p>
    <w:p w14:paraId="71B8B1FD">
      <w:pPr>
        <w:keepNext w:val="0"/>
        <w:keepLines w:val="0"/>
        <w:pageBreakBefore w:val="0"/>
        <w:widowControl w:val="0"/>
        <w:numPr>
          <w:ilvl w:val="0"/>
          <w:numId w:val="3"/>
        </w:numPr>
        <w:kinsoku/>
        <w:wordWrap/>
        <w:overflowPunct/>
        <w:topLinePunct w:val="0"/>
        <w:autoSpaceDE/>
        <w:autoSpaceDN/>
        <w:bidi w:val="0"/>
        <w:adjustRightInd w:val="0"/>
        <w:snapToGrid w:val="0"/>
        <w:spacing w:line="600" w:lineRule="exact"/>
        <w:ind w:left="640" w:leftChars="0" w:firstLine="0" w:firstLineChars="0"/>
        <w:textAlignment w:val="auto"/>
        <w:outlineLvl w:val="0"/>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预算资金情况</w:t>
      </w:r>
    </w:p>
    <w:p w14:paraId="50C1D24C">
      <w:pPr>
        <w:pStyle w:val="12"/>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项目总预算金额：</w:t>
      </w:r>
      <w:r>
        <w:rPr>
          <w:rFonts w:hint="eastAsia" w:ascii="仿宋_GB2312" w:hAnsi="Times New Roman" w:cs="Times New Roman"/>
          <w:b w:val="0"/>
          <w:bCs w:val="0"/>
          <w:kern w:val="2"/>
          <w:sz w:val="32"/>
          <w:szCs w:val="32"/>
          <w:lang w:val="en-US" w:eastAsia="zh-CN" w:bidi="ar-SA"/>
        </w:rPr>
        <w:t>150万</w:t>
      </w:r>
      <w:r>
        <w:rPr>
          <w:rFonts w:hint="eastAsia" w:ascii="仿宋_GB2312" w:hAnsi="Times New Roman" w:eastAsia="仿宋_GB2312" w:cs="Times New Roman"/>
          <w:b w:val="0"/>
          <w:bCs w:val="0"/>
          <w:kern w:val="2"/>
          <w:sz w:val="32"/>
          <w:szCs w:val="32"/>
          <w:lang w:val="en-US" w:eastAsia="zh-CN" w:bidi="ar-SA"/>
        </w:rPr>
        <w:t>元；</w:t>
      </w:r>
    </w:p>
    <w:p w14:paraId="3C64F4FB">
      <w:pPr>
        <w:pStyle w:val="12"/>
        <w:rPr>
          <w:rFonts w:hint="eastAsia" w:ascii="楷体_GB2312" w:hAnsi="楷体_GB2312" w:eastAsia="楷体_GB2312" w:cs="楷体_GB2312"/>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项目当年预算金额：</w:t>
      </w:r>
      <w:r>
        <w:rPr>
          <w:rFonts w:hint="eastAsia" w:ascii="仿宋_GB2312" w:hAnsi="Times New Roman" w:cs="Times New Roman"/>
          <w:b w:val="0"/>
          <w:bCs w:val="0"/>
          <w:kern w:val="2"/>
          <w:sz w:val="32"/>
          <w:szCs w:val="32"/>
          <w:lang w:val="en-US" w:eastAsia="zh-CN" w:bidi="ar-SA"/>
        </w:rPr>
        <w:t>150万</w:t>
      </w:r>
      <w:r>
        <w:rPr>
          <w:rFonts w:hint="eastAsia" w:ascii="仿宋_GB2312" w:hAnsi="Times New Roman" w:eastAsia="仿宋_GB2312" w:cs="Times New Roman"/>
          <w:b w:val="0"/>
          <w:bCs w:val="0"/>
          <w:kern w:val="2"/>
          <w:sz w:val="32"/>
          <w:szCs w:val="32"/>
          <w:lang w:val="en-US" w:eastAsia="zh-CN" w:bidi="ar-SA"/>
        </w:rPr>
        <w:t>元；</w:t>
      </w:r>
    </w:p>
    <w:p w14:paraId="70272218">
      <w:pPr>
        <w:numPr>
          <w:ilvl w:val="0"/>
          <w:numId w:val="0"/>
        </w:numPr>
        <w:ind w:firstLine="640"/>
        <w:jc w:val="both"/>
        <w:rPr>
          <w:rFonts w:hint="default"/>
          <w:lang w:val="en-US" w:eastAsia="zh-CN"/>
        </w:rPr>
      </w:pPr>
      <w:r>
        <w:rPr>
          <w:rFonts w:hint="eastAsia" w:ascii="仿宋_GB2312" w:hAnsi="Times New Roman" w:eastAsia="仿宋_GB2312" w:cs="Times New Roman"/>
          <w:b w:val="0"/>
          <w:bCs w:val="0"/>
          <w:kern w:val="2"/>
          <w:sz w:val="32"/>
          <w:szCs w:val="32"/>
          <w:lang w:val="en-US" w:eastAsia="zh-CN" w:bidi="ar-SA"/>
        </w:rPr>
        <w:t>根据</w:t>
      </w:r>
      <w:r>
        <w:rPr>
          <w:rFonts w:hint="eastAsia" w:ascii="仿宋_GB2312" w:hAnsi="Times New Roman" w:cs="Times New Roman"/>
          <w:b w:val="0"/>
          <w:bCs w:val="0"/>
          <w:kern w:val="2"/>
          <w:sz w:val="32"/>
          <w:szCs w:val="32"/>
          <w:lang w:val="en-US" w:eastAsia="zh-CN" w:bidi="ar-SA"/>
        </w:rPr>
        <w:t>《甘肃省财政厅关于提前下达2023年省级财政水利工程建设运行与维护项目资金预算的通知》（甘财农</w:t>
      </w:r>
      <w:r>
        <w:rPr>
          <w:rFonts w:hint="eastAsia" w:ascii="仿宋_GB2312" w:hAnsi="Times New Roman" w:eastAsia="仿宋_GB2312" w:cs="Times New Roman"/>
          <w:b w:val="0"/>
          <w:bCs w:val="0"/>
          <w:kern w:val="2"/>
          <w:sz w:val="32"/>
          <w:szCs w:val="32"/>
          <w:lang w:val="en-US" w:eastAsia="zh-CN" w:bidi="ar-SA"/>
        </w:rPr>
        <w:t>〔202</w:t>
      </w:r>
      <w:r>
        <w:rPr>
          <w:rFonts w:hint="eastAsia" w:ascii="仿宋_GB2312" w:hAnsi="Times New Roman" w:cs="Times New Roman"/>
          <w:b w:val="0"/>
          <w:bCs w:val="0"/>
          <w:kern w:val="2"/>
          <w:sz w:val="32"/>
          <w:szCs w:val="32"/>
          <w:lang w:val="en-US" w:eastAsia="zh-CN" w:bidi="ar-SA"/>
        </w:rPr>
        <w:t>2</w:t>
      </w:r>
      <w:r>
        <w:rPr>
          <w:rFonts w:hint="eastAsia" w:ascii="仿宋_GB2312" w:hAnsi="Times New Roman" w:eastAsia="仿宋_GB2312" w:cs="Times New Roman"/>
          <w:b w:val="0"/>
          <w:bCs w:val="0"/>
          <w:kern w:val="2"/>
          <w:sz w:val="32"/>
          <w:szCs w:val="32"/>
          <w:lang w:val="en-US" w:eastAsia="zh-CN" w:bidi="ar-SA"/>
        </w:rPr>
        <w:t>〕</w:t>
      </w:r>
      <w:r>
        <w:rPr>
          <w:rFonts w:hint="eastAsia" w:ascii="仿宋_GB2312" w:hAnsi="Times New Roman" w:cs="Times New Roman"/>
          <w:b w:val="0"/>
          <w:bCs w:val="0"/>
          <w:kern w:val="2"/>
          <w:sz w:val="32"/>
          <w:szCs w:val="32"/>
          <w:lang w:val="en-US" w:eastAsia="zh-CN" w:bidi="ar-SA"/>
        </w:rPr>
        <w:t>122号）下达本工程建设资金</w:t>
      </w:r>
      <w:r>
        <w:rPr>
          <w:rFonts w:hint="eastAsia" w:ascii="仿宋_GB2312" w:cs="Times New Roman"/>
          <w:b w:val="0"/>
          <w:bCs w:val="0"/>
          <w:kern w:val="2"/>
          <w:sz w:val="32"/>
          <w:szCs w:val="32"/>
          <w:lang w:val="en-US" w:eastAsia="zh-CN" w:bidi="ar-SA"/>
        </w:rPr>
        <w:t>150</w:t>
      </w:r>
      <w:r>
        <w:rPr>
          <w:rFonts w:hint="eastAsia" w:ascii="仿宋_GB2312" w:hAnsi="Times New Roman" w:cs="Times New Roman"/>
          <w:b w:val="0"/>
          <w:bCs w:val="0"/>
          <w:kern w:val="2"/>
          <w:sz w:val="32"/>
          <w:szCs w:val="32"/>
          <w:lang w:val="en-US" w:eastAsia="zh-CN" w:bidi="ar-SA"/>
        </w:rPr>
        <w:t>万元。</w:t>
      </w:r>
    </w:p>
    <w:p w14:paraId="5DFABF4E">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left="0" w:leftChars="0" w:firstLine="640" w:firstLineChars="200"/>
        <w:textAlignment w:val="auto"/>
        <w:outlineLvl w:val="0"/>
        <w:rPr>
          <w:rFonts w:hint="eastAsia" w:ascii="黑体" w:hAnsi="黑体" w:eastAsia="黑体" w:cs="Times New Roman"/>
          <w:b w:val="0"/>
          <w:bCs/>
          <w:kern w:val="0"/>
          <w:sz w:val="32"/>
          <w:szCs w:val="32"/>
          <w:lang w:val="zh-CN" w:eastAsia="zh-CN" w:bidi="ar-SA"/>
        </w:rPr>
      </w:pPr>
      <w:r>
        <w:rPr>
          <w:rFonts w:hint="eastAsia" w:ascii="黑体" w:hAnsi="黑体" w:eastAsia="黑体" w:cs="Times New Roman"/>
          <w:b w:val="0"/>
          <w:bCs/>
          <w:kern w:val="0"/>
          <w:sz w:val="32"/>
          <w:szCs w:val="32"/>
          <w:lang w:val="zh-CN" w:eastAsia="zh-CN" w:bidi="ar-SA"/>
        </w:rPr>
        <w:t>评价结论和绩效分析</w:t>
      </w:r>
    </w:p>
    <w:p w14:paraId="35D42571">
      <w:pPr>
        <w:pStyle w:val="11"/>
        <w:pageBreakBefore w:val="0"/>
        <w:widowControl w:val="0"/>
        <w:numPr>
          <w:ilvl w:val="1"/>
          <w:numId w:val="0"/>
        </w:numPr>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评价结果</w:t>
      </w:r>
    </w:p>
    <w:p w14:paraId="3B50667A">
      <w:pPr>
        <w:pStyle w:val="12"/>
        <w:pageBreakBefore w:val="0"/>
        <w:widowControl w:val="0"/>
        <w:kinsoku/>
        <w:wordWrap/>
        <w:overflowPunct/>
        <w:topLinePunct w:val="0"/>
        <w:autoSpaceDE/>
        <w:autoSpaceDN/>
        <w:bidi w:val="0"/>
        <w:adjustRightInd/>
        <w:snapToGrid/>
        <w:spacing w:line="580" w:lineRule="exact"/>
        <w:textAlignment w:val="auto"/>
        <w:rPr>
          <w:rFonts w:hint="eastAsia" w:ascii="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评价得分：</w:t>
      </w:r>
      <w:r>
        <w:rPr>
          <w:rFonts w:hint="eastAsia" w:ascii="仿宋_GB2312" w:cs="Times New Roman"/>
          <w:b w:val="0"/>
          <w:bCs w:val="0"/>
          <w:kern w:val="2"/>
          <w:sz w:val="32"/>
          <w:szCs w:val="32"/>
          <w:lang w:val="en-US" w:eastAsia="zh-CN" w:bidi="ar-SA"/>
        </w:rPr>
        <w:t>99.73</w:t>
      </w:r>
    </w:p>
    <w:p w14:paraId="348D4CE3">
      <w:pPr>
        <w:pStyle w:val="12"/>
        <w:pageBreakBefore w:val="0"/>
        <w:widowControl w:val="0"/>
        <w:kinsoku/>
        <w:wordWrap/>
        <w:overflowPunct/>
        <w:topLinePunct w:val="0"/>
        <w:autoSpaceDE/>
        <w:autoSpaceDN/>
        <w:bidi w:val="0"/>
        <w:adjustRightInd/>
        <w:snapToGrid/>
        <w:spacing w:line="580" w:lineRule="exact"/>
        <w:textAlignment w:val="auto"/>
        <w:rPr>
          <w:rFonts w:hint="eastAsia" w:ascii="仿宋_GB2312" w:hAnsi="Times New Roman" w:eastAsia="仿宋_GB2312" w:cs="Times New Roman"/>
          <w:b w:val="0"/>
          <w:bCs w:val="0"/>
          <w:kern w:val="2"/>
          <w:sz w:val="32"/>
          <w:szCs w:val="32"/>
          <w:lang w:val="en-US" w:eastAsia="zh-CN" w:bidi="ar-SA"/>
        </w:rPr>
      </w:pPr>
      <w:bookmarkStart w:id="4" w:name="_GoBack"/>
      <w:bookmarkEnd w:id="4"/>
      <w:r>
        <w:rPr>
          <w:rFonts w:hint="eastAsia" w:ascii="仿宋_GB2312" w:hAnsi="Times New Roman" w:eastAsia="仿宋_GB2312" w:cs="Times New Roman"/>
          <w:b w:val="0"/>
          <w:bCs w:val="0"/>
          <w:kern w:val="2"/>
          <w:sz w:val="32"/>
          <w:szCs w:val="32"/>
          <w:lang w:val="en-US" w:eastAsia="zh-CN" w:bidi="ar-SA"/>
        </w:rPr>
        <w:t>绩效等级：优秀</w:t>
      </w:r>
    </w:p>
    <w:p w14:paraId="5FAB54C9">
      <w:pPr>
        <w:bidi w:val="0"/>
        <w:rPr>
          <w:rFonts w:hint="default"/>
          <w:lang w:val="en-US" w:eastAsia="zh-CN"/>
        </w:rPr>
      </w:pPr>
      <w:r>
        <w:rPr>
          <w:rFonts w:hint="eastAsia"/>
          <w:lang w:val="en-US" w:eastAsia="zh-CN"/>
        </w:rPr>
        <w:t xml:space="preserve">    </w:t>
      </w:r>
      <w:r>
        <w:rPr>
          <w:rFonts w:hint="eastAsia" w:ascii="楷体_GB2312" w:hAnsi="楷体_GB2312" w:eastAsia="楷体_GB2312" w:cs="楷体_GB2312"/>
          <w:lang w:val="en-US" w:eastAsia="zh-CN"/>
        </w:rPr>
        <w:t>（一）项目资金情况分析</w:t>
      </w:r>
    </w:p>
    <w:p w14:paraId="743DC60D">
      <w:pPr>
        <w:ind w:firstLine="640"/>
        <w:rPr>
          <w:rFonts w:hint="eastAsia"/>
          <w:lang w:val="en-US" w:eastAsia="zh-CN"/>
        </w:rPr>
      </w:pPr>
      <w:r>
        <w:rPr>
          <w:rFonts w:hint="eastAsia"/>
          <w:lang w:val="en-US" w:eastAsia="zh-CN"/>
        </w:rPr>
        <w:t>1.资金到位情况</w:t>
      </w:r>
    </w:p>
    <w:p w14:paraId="574F8D57">
      <w:pPr>
        <w:numPr>
          <w:ilvl w:val="0"/>
          <w:numId w:val="0"/>
        </w:numPr>
        <w:ind w:firstLine="640"/>
        <w:jc w:val="both"/>
        <w:rPr>
          <w:rFonts w:hint="default"/>
          <w:lang w:val="en-US" w:eastAsia="zh-CN"/>
        </w:rPr>
      </w:pPr>
      <w:r>
        <w:rPr>
          <w:rFonts w:hint="eastAsia" w:ascii="仿宋_GB2312" w:hAnsi="Times New Roman" w:cs="Times New Roman"/>
          <w:b w:val="0"/>
          <w:bCs w:val="0"/>
          <w:kern w:val="2"/>
          <w:sz w:val="32"/>
          <w:szCs w:val="32"/>
          <w:lang w:val="en-US" w:eastAsia="zh-CN" w:bidi="ar-SA"/>
        </w:rPr>
        <w:t>根据甘财农</w:t>
      </w:r>
      <w:r>
        <w:rPr>
          <w:rFonts w:hint="eastAsia" w:ascii="仿宋_GB2312" w:hAnsi="Times New Roman" w:eastAsia="仿宋_GB2312" w:cs="Times New Roman"/>
          <w:b w:val="0"/>
          <w:bCs w:val="0"/>
          <w:kern w:val="2"/>
          <w:sz w:val="32"/>
          <w:szCs w:val="32"/>
          <w:lang w:val="en-US" w:eastAsia="zh-CN" w:bidi="ar-SA"/>
        </w:rPr>
        <w:t>〔202</w:t>
      </w:r>
      <w:r>
        <w:rPr>
          <w:rFonts w:hint="eastAsia" w:ascii="仿宋_GB2312" w:hAnsi="Times New Roman" w:cs="Times New Roman"/>
          <w:b w:val="0"/>
          <w:bCs w:val="0"/>
          <w:kern w:val="2"/>
          <w:sz w:val="32"/>
          <w:szCs w:val="32"/>
          <w:lang w:val="en-US" w:eastAsia="zh-CN" w:bidi="ar-SA"/>
        </w:rPr>
        <w:t>2</w:t>
      </w:r>
      <w:r>
        <w:rPr>
          <w:rFonts w:hint="eastAsia" w:ascii="仿宋_GB2312" w:hAnsi="Times New Roman" w:eastAsia="仿宋_GB2312" w:cs="Times New Roman"/>
          <w:b w:val="0"/>
          <w:bCs w:val="0"/>
          <w:kern w:val="2"/>
          <w:sz w:val="32"/>
          <w:szCs w:val="32"/>
          <w:lang w:val="en-US" w:eastAsia="zh-CN" w:bidi="ar-SA"/>
        </w:rPr>
        <w:t>〕</w:t>
      </w:r>
      <w:r>
        <w:rPr>
          <w:rFonts w:hint="eastAsia" w:ascii="仿宋_GB2312" w:hAnsi="Times New Roman" w:cs="Times New Roman"/>
          <w:b w:val="0"/>
          <w:bCs w:val="0"/>
          <w:kern w:val="2"/>
          <w:sz w:val="32"/>
          <w:szCs w:val="32"/>
          <w:lang w:val="en-US" w:eastAsia="zh-CN" w:bidi="ar-SA"/>
        </w:rPr>
        <w:t>122号文件下达本工程建设资金</w:t>
      </w:r>
      <w:r>
        <w:rPr>
          <w:rFonts w:hint="eastAsia" w:ascii="仿宋_GB2312" w:cs="Times New Roman"/>
          <w:b w:val="0"/>
          <w:bCs w:val="0"/>
          <w:kern w:val="2"/>
          <w:sz w:val="32"/>
          <w:szCs w:val="32"/>
          <w:lang w:val="en-US" w:eastAsia="zh-CN" w:bidi="ar-SA"/>
        </w:rPr>
        <w:t>150</w:t>
      </w:r>
      <w:r>
        <w:rPr>
          <w:rFonts w:hint="eastAsia" w:ascii="仿宋_GB2312" w:hAnsi="Times New Roman" w:cs="Times New Roman"/>
          <w:b w:val="0"/>
          <w:bCs w:val="0"/>
          <w:kern w:val="2"/>
          <w:sz w:val="32"/>
          <w:szCs w:val="32"/>
          <w:lang w:val="en-US" w:eastAsia="zh-CN" w:bidi="ar-SA"/>
        </w:rPr>
        <w:t>万元，实际资金到位</w:t>
      </w:r>
      <w:r>
        <w:rPr>
          <w:rFonts w:hint="eastAsia" w:ascii="仿宋_GB2312" w:cs="Times New Roman"/>
          <w:b w:val="0"/>
          <w:bCs w:val="0"/>
          <w:kern w:val="2"/>
          <w:sz w:val="32"/>
          <w:szCs w:val="32"/>
          <w:lang w:val="en-US" w:eastAsia="zh-CN" w:bidi="ar-SA"/>
        </w:rPr>
        <w:t>150</w:t>
      </w:r>
      <w:r>
        <w:rPr>
          <w:rFonts w:hint="eastAsia" w:ascii="仿宋_GB2312" w:hAnsi="Times New Roman" w:cs="Times New Roman"/>
          <w:b w:val="0"/>
          <w:bCs w:val="0"/>
          <w:kern w:val="2"/>
          <w:sz w:val="32"/>
          <w:szCs w:val="32"/>
          <w:lang w:val="en-US" w:eastAsia="zh-CN" w:bidi="ar-SA"/>
        </w:rPr>
        <w:t>万元，</w:t>
      </w:r>
      <w:r>
        <w:rPr>
          <w:rFonts w:hint="eastAsia" w:ascii="仿宋_GB2312" w:hAnsi="Times New Roman" w:eastAsia="仿宋_GB2312"/>
          <w:sz w:val="32"/>
          <w:szCs w:val="32"/>
          <w:lang w:val="en-US" w:eastAsia="zh-CN"/>
        </w:rPr>
        <w:t>财政资金到位率100%，资金到位及时。</w:t>
      </w:r>
    </w:p>
    <w:p w14:paraId="7D3A6944">
      <w:pPr>
        <w:ind w:firstLine="640"/>
        <w:rPr>
          <w:rFonts w:hint="eastAsia"/>
          <w:lang w:val="en-US" w:eastAsia="zh-CN"/>
        </w:rPr>
      </w:pPr>
      <w:r>
        <w:rPr>
          <w:rFonts w:hint="eastAsia"/>
          <w:lang w:val="en-US" w:eastAsia="zh-CN"/>
        </w:rPr>
        <w:t>2.资金完成情况</w:t>
      </w:r>
    </w:p>
    <w:p w14:paraId="07EB658B">
      <w:pPr>
        <w:ind w:firstLine="640"/>
        <w:rPr>
          <w:rFonts w:hint="default"/>
          <w:lang w:val="en-US" w:eastAsia="zh-CN"/>
        </w:rPr>
      </w:pPr>
      <w:r>
        <w:rPr>
          <w:rFonts w:hint="eastAsia"/>
          <w:lang w:val="en-US" w:eastAsia="zh-CN"/>
        </w:rPr>
        <w:t>至目前，该工程批复建设内容已全部完成。完成投资150万元，完成率100%。</w:t>
      </w:r>
    </w:p>
    <w:p w14:paraId="27827F6E">
      <w:pPr>
        <w:ind w:firstLine="640"/>
        <w:rPr>
          <w:rFonts w:hint="eastAsia"/>
          <w:lang w:val="en-US" w:eastAsia="zh-CN"/>
        </w:rPr>
      </w:pPr>
      <w:r>
        <w:rPr>
          <w:rFonts w:hint="eastAsia"/>
          <w:lang w:val="en-US" w:eastAsia="zh-CN"/>
        </w:rPr>
        <w:t>3.资金管理情况</w:t>
      </w:r>
    </w:p>
    <w:p w14:paraId="53F301F7">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sz w:val="32"/>
          <w:szCs w:val="32"/>
          <w:lang w:val="en-US" w:eastAsia="zh-CN"/>
        </w:rPr>
        <w:t>（1）</w:t>
      </w:r>
      <w:r>
        <w:rPr>
          <w:rFonts w:hint="eastAsia" w:ascii="仿宋_GB2312" w:hAnsi="Times New Roman" w:eastAsia="仿宋_GB2312"/>
          <w:sz w:val="32"/>
          <w:szCs w:val="32"/>
          <w:lang w:val="en-US" w:eastAsia="zh-CN"/>
        </w:rPr>
        <w:t>财务管理情况</w:t>
      </w:r>
    </w:p>
    <w:p w14:paraId="73EE7CF8">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严格执行《水利发展资金使用管理办法》（财农〔2019〕54号）、《甘肃省水利发展资金管理实施细则》（甘财农〔2020〕8号）和《甘肃省水利发展资金绩效管理暂行办法》（甘财农二〔2018〕103号）等资金管理办法。按照“专户管理，专款专用，注重实效”的原则进行资金管理使用。</w:t>
      </w:r>
    </w:p>
    <w:p w14:paraId="42B01182">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一是建立健全各项管理制度。为规范和加强专项资金的管理，保证资金安全使用，建设单位结合实际制定了《工程资金管理和工程价款结算支付管理制度》，按照《国有建设单位会计制度》的要求，设立会计帐簿，对专项资金运行的各个过程进行记录、核算、监督、管理。</w:t>
      </w:r>
    </w:p>
    <w:p w14:paraId="7A9A706F">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二是加强项目资金管理力度，严把资金核拨和报帐程序。专项资金的管理遵循“报帐制”原则，分项目核算。</w:t>
      </w:r>
    </w:p>
    <w:p w14:paraId="13F94EFB">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三是严格控制待摊投资的支出，科学归集单项工程的共同性费用。专项资金的管理费支出严格按照国家有关规定控制使用范围。</w:t>
      </w:r>
    </w:p>
    <w:p w14:paraId="6307F88E">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eastAsia="zh-CN"/>
        </w:rPr>
      </w:pPr>
      <w:r>
        <w:rPr>
          <w:rFonts w:hint="eastAsia" w:ascii="仿宋_GB2312" w:hAnsi="Times New Roman" w:eastAsia="仿宋_GB2312"/>
          <w:sz w:val="32"/>
          <w:szCs w:val="32"/>
          <w:lang w:val="en-US" w:eastAsia="zh-CN"/>
        </w:rPr>
        <w:t>四是严格投资概算控制，在工程建设过程中，严格根据设计图纸施工，有效控制了工程投资概算。该工程没有超出概算。</w:t>
      </w:r>
    </w:p>
    <w:p w14:paraId="7B77ECE5">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（2）资金安全</w:t>
      </w:r>
    </w:p>
    <w:p w14:paraId="040B8F3F">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项目严格执行《甘肃省水利发展资金使用管理实施办法》等资金管理办法及规章制度，严格管理建设资金。资金支付执行国库存集中支付制度和县级财政报账制，从制度和机制上确保水利发展资金安全运行。各项目建设单位设立专户，封闭运行。按照批复的建设内容、规模和范围作用，专账核算、专款专用，严禁挤占、截留、挪用，确保了资金及时到位，促进了工程建设的顺利实施。按照合同要求，定期按实际完成的工程量，经监理部审核，项目法人审查验收，进行工程进度款结算。在工程建设过程中，严格执行合同管理制，无拖欠工程款和农民工工资的情况。</w:t>
      </w:r>
    </w:p>
    <w:p w14:paraId="5E6762B2">
      <w:pPr>
        <w:bidi w:val="0"/>
        <w:ind w:firstLine="640" w:firstLineChars="200"/>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（二）项目管理情况分析</w:t>
      </w:r>
    </w:p>
    <w:p w14:paraId="2EAD1E10">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1.组织实施</w:t>
      </w:r>
    </w:p>
    <w:p w14:paraId="2F47A4C0">
      <w:pPr>
        <w:pStyle w:val="11"/>
        <w:numPr>
          <w:ilvl w:val="1"/>
          <w:numId w:val="0"/>
        </w:numPr>
        <w:spacing w:line="240" w:lineRule="auto"/>
        <w:ind w:firstLine="640" w:firstLineChars="200"/>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（2）临泽县小型水利建设项目2023年黑河沿岸灌区水毁修复工程批复的绩效目标为</w:t>
      </w:r>
      <w:r>
        <w:rPr>
          <w:rFonts w:hint="eastAsia" w:ascii="仿宋_GB2312" w:hAnsi="Times New Roman"/>
          <w:sz w:val="32"/>
          <w:szCs w:val="32"/>
          <w:lang w:val="en-US" w:eastAsia="zh-CN"/>
        </w:rPr>
        <w:t>：</w:t>
      </w:r>
      <w:r>
        <w:rPr>
          <w:rFonts w:hint="eastAsia" w:ascii="仿宋_GB2312" w:hAnsi="Times New Roman" w:eastAsia="仿宋_GB2312"/>
          <w:sz w:val="32"/>
          <w:szCs w:val="32"/>
          <w:lang w:val="en-US" w:eastAsia="zh-CN"/>
        </w:rPr>
        <w:t>完成蓼泉灌区、鸭暖灌区、平川灌区三处水利工程维修养护。绩效目标未发生调整。</w:t>
      </w:r>
    </w:p>
    <w:p w14:paraId="778FE331">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（2）为加强临泽县小型水利</w:t>
      </w:r>
      <w:r>
        <w:rPr>
          <w:rFonts w:hint="eastAsia" w:ascii="仿宋_GB2312" w:hAnsi="Times New Roman" w:eastAsia="仿宋_GB2312" w:cs="Times New Roman"/>
          <w:kern w:val="2"/>
          <w:sz w:val="32"/>
          <w:szCs w:val="32"/>
          <w:lang w:val="en-US" w:eastAsia="zh-CN" w:bidi="ar-SA"/>
        </w:rPr>
        <w:t>建设</w:t>
      </w:r>
      <w:r>
        <w:rPr>
          <w:rFonts w:hint="eastAsia" w:ascii="仿宋_GB2312" w:hAnsi="Times New Roman" w:eastAsia="仿宋_GB2312"/>
          <w:sz w:val="32"/>
          <w:szCs w:val="32"/>
          <w:lang w:val="en-US" w:eastAsia="zh-CN"/>
        </w:rPr>
        <w:t>项目2023年黑河沿岸灌区水毁修复工程建设与管理，</w:t>
      </w:r>
      <w:r>
        <w:rPr>
          <w:rFonts w:hint="eastAsia" w:ascii="仿宋_GB2312" w:hAnsi="Times New Roman"/>
          <w:color w:val="auto"/>
          <w:sz w:val="32"/>
          <w:szCs w:val="32"/>
          <w:lang w:val="en-US" w:eastAsia="zh-CN"/>
        </w:rPr>
        <w:t>临泽县节水型社会试点建设领导小组办公室</w:t>
      </w:r>
      <w:r>
        <w:rPr>
          <w:rFonts w:hint="eastAsia" w:ascii="仿宋_GB2312" w:hAnsi="Times New Roman" w:eastAsia="仿宋_GB2312"/>
          <w:color w:val="auto"/>
          <w:sz w:val="32"/>
          <w:szCs w:val="32"/>
          <w:lang w:val="en-US" w:eastAsia="zh-CN"/>
        </w:rPr>
        <w:t>作</w:t>
      </w:r>
      <w:r>
        <w:rPr>
          <w:rFonts w:hint="eastAsia" w:ascii="仿宋_GB2312" w:hAnsi="Times New Roman" w:eastAsia="仿宋_GB2312"/>
          <w:sz w:val="32"/>
          <w:szCs w:val="32"/>
          <w:lang w:val="en-US" w:eastAsia="zh-CN"/>
        </w:rPr>
        <w:t>为项目法人，全面负责该工程建设的日常管理工作，包括项目招投标、施工管理、资金管理、后勤与材料供应、档案管理及工程竣工验收等。本工程建设严格按照“四制”进行管理，实行合同管理。项目合同签订后，严格按照工程实施方案开展项目，做到了事前预防、事中监督、事后把关，进行质量控制。质量管理实行法人负责、施工单位保证、监理单位控制和政府部门监督相结合的质量管理体系，严格执行基本建设程序，对工程规模、效益、质量、投资进行了严格控制。</w:t>
      </w:r>
    </w:p>
    <w:p w14:paraId="781520F2">
      <w:pPr>
        <w:bidi w:val="0"/>
        <w:ind w:firstLine="640" w:firstLineChars="200"/>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（三）产出指标完成情况分析</w:t>
      </w:r>
    </w:p>
    <w:p w14:paraId="6C5F9617">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1.项目数量指标</w:t>
      </w:r>
    </w:p>
    <w:p w14:paraId="1C2B1CD4">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sz w:val="32"/>
          <w:szCs w:val="32"/>
          <w:lang w:val="en-US" w:eastAsia="zh-CN"/>
        </w:rPr>
      </w:pPr>
      <w:r>
        <w:rPr>
          <w:rFonts w:hint="eastAsia" w:ascii="仿宋_GB2312" w:hAnsi="Times New Roman" w:eastAsia="仿宋_GB2312"/>
          <w:sz w:val="32"/>
          <w:szCs w:val="32"/>
          <w:lang w:val="en-US" w:eastAsia="zh-CN"/>
        </w:rPr>
        <w:t>临泽县小型水利建设项目2023年黑河沿岸灌区水毁修复工程</w:t>
      </w:r>
      <w:r>
        <w:rPr>
          <w:rFonts w:hint="eastAsia" w:ascii="仿宋_GB2312" w:hAnsi="Times New Roman"/>
          <w:sz w:val="32"/>
          <w:szCs w:val="32"/>
          <w:lang w:val="en-US" w:eastAsia="zh-CN"/>
        </w:rPr>
        <w:t>已完成</w:t>
      </w:r>
      <w:r>
        <w:rPr>
          <w:rFonts w:hint="eastAsia" w:ascii="仿宋_GB2312" w:hAnsi="Times New Roman" w:eastAsia="仿宋_GB2312" w:cs="Times New Roman"/>
          <w:b w:val="0"/>
          <w:bCs w:val="0"/>
          <w:kern w:val="2"/>
          <w:sz w:val="32"/>
          <w:szCs w:val="32"/>
          <w:lang w:val="en-US" w:eastAsia="zh-CN" w:bidi="ar-SA"/>
        </w:rPr>
        <w:t>维修加固蓼泉灌区蓼泉干渠引水口门、鸭暖灌区鸭翅干渠引水口门、永安干渠渠首拦河坝、平川灌区三坝干渠引水口门、渠首拦河坝</w:t>
      </w:r>
      <w:r>
        <w:rPr>
          <w:rFonts w:hint="eastAsia" w:ascii="仿宋_GB2312" w:hAnsi="Times New Roman"/>
          <w:sz w:val="32"/>
          <w:szCs w:val="32"/>
          <w:lang w:val="en-US" w:eastAsia="zh-CN"/>
        </w:rPr>
        <w:t>。</w:t>
      </w:r>
    </w:p>
    <w:p w14:paraId="53D6EE0D">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2.项目成本</w:t>
      </w:r>
      <w:r>
        <w:rPr>
          <w:rFonts w:hint="eastAsia" w:ascii="仿宋_GB2312" w:hAnsi="Times New Roman" w:eastAsia="仿宋_GB2312" w:cs="Times New Roman"/>
          <w:kern w:val="2"/>
          <w:sz w:val="32"/>
          <w:szCs w:val="32"/>
          <w:lang w:val="en-US" w:eastAsia="zh-CN" w:bidi="ar-SA"/>
        </w:rPr>
        <w:t>指标</w:t>
      </w:r>
    </w:p>
    <w:p w14:paraId="1107676F">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项目严格按照批复的实施方案和初步设计进行工程建设，在实施中由监理对工程的进度、质量和投资进行控制，所有项目均无超出成本现象。各项目单价均控制在批复概算单价内。</w:t>
      </w:r>
    </w:p>
    <w:p w14:paraId="1FF29D42">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楷体" w:hAnsi="楷体" w:eastAsia="楷体" w:cs="Times New Roman"/>
          <w:b w:val="0"/>
          <w:bCs w:val="0"/>
          <w:color w:val="auto"/>
          <w:sz w:val="32"/>
        </w:rPr>
      </w:pPr>
      <w:r>
        <w:rPr>
          <w:rFonts w:hint="eastAsia" w:ascii="楷体" w:hAnsi="楷体" w:eastAsia="楷体" w:cs="Times New Roman"/>
          <w:b w:val="0"/>
          <w:bCs w:val="0"/>
          <w:color w:val="auto"/>
          <w:sz w:val="32"/>
        </w:rPr>
        <w:t>（四）效益指标完成情况分析</w:t>
      </w:r>
    </w:p>
    <w:p w14:paraId="20CE8B7D">
      <w:pPr>
        <w:pStyle w:val="12"/>
        <w:pageBreakBefore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已完成指标:</w:t>
      </w:r>
    </w:p>
    <w:tbl>
      <w:tblPr>
        <w:tblStyle w:val="8"/>
        <w:tblW w:w="53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9"/>
        <w:gridCol w:w="2268"/>
      </w:tblGrid>
      <w:tr w14:paraId="22157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3079" w:type="dxa"/>
            <w:shd w:val="clear" w:color="000000" w:fill="BFBFBF"/>
          </w:tcPr>
          <w:p w14:paraId="614A6D50">
            <w:pPr>
              <w:widowControl/>
              <w:jc w:val="center"/>
              <w:rPr>
                <w:rFonts w:ascii="仿宋" w:hAnsi="仿宋" w:eastAsia="仿宋" w:cs="宋体"/>
                <w:b/>
                <w:bCs/>
                <w:kern w:val="0"/>
                <w:sz w:val="22"/>
              </w:rPr>
            </w:pPr>
            <w:r>
              <w:rPr>
                <w:rFonts w:hint="eastAsia" w:ascii="仿宋" w:hAnsi="仿宋" w:eastAsia="仿宋" w:cs="宋体"/>
                <w:b/>
                <w:bCs/>
                <w:kern w:val="0"/>
                <w:sz w:val="22"/>
              </w:rPr>
              <w:t>指标名称</w:t>
            </w:r>
          </w:p>
        </w:tc>
        <w:tc>
          <w:tcPr>
            <w:tcW w:w="2268" w:type="dxa"/>
            <w:shd w:val="clear" w:color="000000" w:fill="BFBFBF"/>
          </w:tcPr>
          <w:p w14:paraId="5D19AA13">
            <w:pPr>
              <w:widowControl/>
              <w:jc w:val="center"/>
              <w:rPr>
                <w:rFonts w:ascii="仿宋" w:hAnsi="仿宋" w:eastAsia="仿宋" w:cs="宋体"/>
                <w:b/>
                <w:bCs/>
                <w:kern w:val="0"/>
                <w:sz w:val="22"/>
              </w:rPr>
            </w:pPr>
            <w:r>
              <w:rPr>
                <w:rFonts w:hint="eastAsia" w:ascii="仿宋" w:hAnsi="仿宋" w:eastAsia="仿宋" w:cs="宋体"/>
                <w:b/>
                <w:bCs/>
                <w:kern w:val="0"/>
                <w:sz w:val="22"/>
              </w:rPr>
              <w:t>实际值</w:t>
            </w:r>
          </w:p>
        </w:tc>
      </w:tr>
      <w:tr w14:paraId="24508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2D8EDAAC">
            <w:pPr>
              <w:widowControl/>
              <w:jc w:val="left"/>
              <w:rPr>
                <w:rFonts w:ascii="宋体" w:hAnsi="宋体" w:cs="宋体"/>
                <w:kern w:val="0"/>
                <w:sz w:val="22"/>
              </w:rPr>
            </w:pPr>
            <w:r>
              <w:rPr>
                <w:rFonts w:hint="eastAsia" w:ascii="宋体" w:hAnsi="宋体" w:cs="宋体"/>
                <w:kern w:val="0"/>
                <w:sz w:val="22"/>
              </w:rPr>
              <w:t>项目开展及时率</w:t>
            </w:r>
          </w:p>
        </w:tc>
        <w:tc>
          <w:tcPr>
            <w:tcW w:w="2268" w:type="dxa"/>
            <w:vAlign w:val="center"/>
          </w:tcPr>
          <w:p w14:paraId="33479C3B">
            <w:pPr>
              <w:widowControl/>
              <w:jc w:val="center"/>
              <w:rPr>
                <w:rFonts w:ascii="宋体" w:hAnsi="宋体" w:cs="宋体"/>
                <w:kern w:val="0"/>
                <w:sz w:val="22"/>
              </w:rPr>
            </w:pPr>
            <w:r>
              <w:rPr>
                <w:rFonts w:hint="eastAsia" w:ascii="宋体" w:hAnsi="宋体" w:cs="宋体"/>
                <w:kern w:val="0"/>
                <w:sz w:val="22"/>
              </w:rPr>
              <w:t>100.00%</w:t>
            </w:r>
          </w:p>
        </w:tc>
      </w:tr>
      <w:tr w14:paraId="06DBD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2485C8CF">
            <w:pPr>
              <w:widowControl/>
              <w:jc w:val="left"/>
              <w:rPr>
                <w:rFonts w:ascii="宋体" w:hAnsi="宋体" w:cs="宋体"/>
                <w:kern w:val="0"/>
                <w:sz w:val="22"/>
              </w:rPr>
            </w:pPr>
            <w:r>
              <w:rPr>
                <w:rFonts w:hint="eastAsia" w:ascii="宋体" w:hAnsi="宋体" w:cs="宋体"/>
                <w:kern w:val="0"/>
                <w:sz w:val="22"/>
              </w:rPr>
              <w:t>维修养护项目设备</w:t>
            </w:r>
          </w:p>
        </w:tc>
        <w:tc>
          <w:tcPr>
            <w:tcW w:w="2268" w:type="dxa"/>
            <w:vAlign w:val="center"/>
          </w:tcPr>
          <w:p w14:paraId="202C9A21">
            <w:pPr>
              <w:widowControl/>
              <w:jc w:val="center"/>
              <w:rPr>
                <w:rFonts w:ascii="宋体" w:hAnsi="宋体" w:cs="宋体"/>
                <w:kern w:val="0"/>
                <w:sz w:val="22"/>
              </w:rPr>
            </w:pPr>
            <w:r>
              <w:rPr>
                <w:rFonts w:hint="eastAsia" w:ascii="宋体" w:hAnsi="宋体" w:cs="宋体"/>
                <w:kern w:val="0"/>
                <w:sz w:val="22"/>
              </w:rPr>
              <w:t>100.00%</w:t>
            </w:r>
          </w:p>
        </w:tc>
      </w:tr>
      <w:tr w14:paraId="57DF9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11AE142E">
            <w:pPr>
              <w:widowControl/>
              <w:jc w:val="left"/>
              <w:rPr>
                <w:rFonts w:ascii="宋体" w:hAnsi="宋体" w:cs="宋体"/>
                <w:kern w:val="0"/>
                <w:sz w:val="22"/>
              </w:rPr>
            </w:pPr>
            <w:r>
              <w:rPr>
                <w:rFonts w:hint="eastAsia" w:ascii="宋体" w:hAnsi="宋体" w:cs="宋体"/>
                <w:kern w:val="0"/>
                <w:sz w:val="22"/>
              </w:rPr>
              <w:t>年度预算控制率</w:t>
            </w:r>
          </w:p>
        </w:tc>
        <w:tc>
          <w:tcPr>
            <w:tcW w:w="2268" w:type="dxa"/>
            <w:vAlign w:val="center"/>
          </w:tcPr>
          <w:p w14:paraId="20B61564">
            <w:pPr>
              <w:widowControl/>
              <w:jc w:val="center"/>
              <w:rPr>
                <w:rFonts w:ascii="宋体" w:hAnsi="宋体" w:cs="宋体"/>
                <w:kern w:val="0"/>
                <w:sz w:val="22"/>
              </w:rPr>
            </w:pPr>
            <w:r>
              <w:rPr>
                <w:rFonts w:hint="eastAsia" w:ascii="宋体" w:hAnsi="宋体" w:cs="宋体"/>
                <w:kern w:val="0"/>
                <w:sz w:val="22"/>
              </w:rPr>
              <w:t>100.00%</w:t>
            </w:r>
          </w:p>
        </w:tc>
      </w:tr>
      <w:tr w14:paraId="7A3DC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20321F5D">
            <w:pPr>
              <w:widowControl/>
              <w:jc w:val="left"/>
              <w:rPr>
                <w:rFonts w:ascii="宋体" w:hAnsi="宋体" w:cs="宋体"/>
                <w:kern w:val="0"/>
                <w:sz w:val="22"/>
              </w:rPr>
            </w:pPr>
            <w:r>
              <w:rPr>
                <w:rFonts w:hint="eastAsia" w:ascii="宋体" w:hAnsi="宋体" w:cs="宋体"/>
                <w:kern w:val="0"/>
                <w:sz w:val="22"/>
              </w:rPr>
              <w:t>提高区域防洪能力</w:t>
            </w:r>
          </w:p>
        </w:tc>
        <w:tc>
          <w:tcPr>
            <w:tcW w:w="2268" w:type="dxa"/>
            <w:vAlign w:val="center"/>
          </w:tcPr>
          <w:p w14:paraId="491E17D8">
            <w:pPr>
              <w:widowControl/>
              <w:jc w:val="center"/>
              <w:rPr>
                <w:rFonts w:ascii="宋体" w:hAnsi="宋体" w:cs="宋体"/>
                <w:kern w:val="0"/>
                <w:sz w:val="22"/>
              </w:rPr>
            </w:pPr>
            <w:r>
              <w:rPr>
                <w:rFonts w:hint="eastAsia" w:ascii="宋体" w:hAnsi="宋体" w:cs="宋体"/>
                <w:kern w:val="0"/>
                <w:sz w:val="22"/>
              </w:rPr>
              <w:t>100%</w:t>
            </w:r>
          </w:p>
        </w:tc>
      </w:tr>
      <w:tr w14:paraId="4657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6AC343CE">
            <w:pPr>
              <w:widowControl/>
              <w:jc w:val="left"/>
              <w:rPr>
                <w:rFonts w:ascii="宋体" w:hAnsi="宋体" w:cs="宋体"/>
                <w:kern w:val="0"/>
                <w:sz w:val="22"/>
              </w:rPr>
            </w:pPr>
            <w:r>
              <w:rPr>
                <w:rFonts w:hint="eastAsia" w:ascii="宋体" w:hAnsi="宋体" w:cs="宋体"/>
                <w:kern w:val="0"/>
                <w:sz w:val="22"/>
              </w:rPr>
              <w:t>维修养护项目防洪排涝及时性</w:t>
            </w:r>
          </w:p>
        </w:tc>
        <w:tc>
          <w:tcPr>
            <w:tcW w:w="2268" w:type="dxa"/>
            <w:vAlign w:val="center"/>
          </w:tcPr>
          <w:p w14:paraId="762CDC99">
            <w:pPr>
              <w:widowControl/>
              <w:jc w:val="center"/>
              <w:rPr>
                <w:rFonts w:ascii="宋体" w:hAnsi="宋体" w:cs="宋体"/>
                <w:kern w:val="0"/>
                <w:sz w:val="22"/>
              </w:rPr>
            </w:pPr>
            <w:r>
              <w:rPr>
                <w:rFonts w:hint="eastAsia" w:ascii="宋体" w:hAnsi="宋体" w:cs="宋体"/>
                <w:kern w:val="0"/>
                <w:sz w:val="22"/>
              </w:rPr>
              <w:t>100%</w:t>
            </w:r>
          </w:p>
        </w:tc>
      </w:tr>
      <w:tr w14:paraId="43D62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11680B46">
            <w:pPr>
              <w:widowControl/>
              <w:jc w:val="left"/>
              <w:rPr>
                <w:rFonts w:ascii="宋体" w:hAnsi="宋体" w:cs="宋体"/>
                <w:kern w:val="0"/>
                <w:sz w:val="22"/>
              </w:rPr>
            </w:pPr>
            <w:r>
              <w:rPr>
                <w:rFonts w:hint="eastAsia" w:ascii="宋体" w:hAnsi="宋体" w:cs="宋体"/>
                <w:kern w:val="0"/>
                <w:sz w:val="22"/>
              </w:rPr>
              <w:t>改善生态、生活环境程度</w:t>
            </w:r>
          </w:p>
        </w:tc>
        <w:tc>
          <w:tcPr>
            <w:tcW w:w="2268" w:type="dxa"/>
            <w:vAlign w:val="center"/>
          </w:tcPr>
          <w:p w14:paraId="457094AA">
            <w:pPr>
              <w:widowControl/>
              <w:jc w:val="center"/>
              <w:rPr>
                <w:rFonts w:ascii="宋体" w:hAnsi="宋体" w:cs="宋体"/>
                <w:kern w:val="0"/>
                <w:sz w:val="22"/>
              </w:rPr>
            </w:pPr>
            <w:r>
              <w:rPr>
                <w:rFonts w:hint="eastAsia" w:ascii="宋体" w:hAnsi="宋体" w:cs="宋体"/>
                <w:kern w:val="0"/>
                <w:sz w:val="22"/>
              </w:rPr>
              <w:t>100%</w:t>
            </w:r>
          </w:p>
        </w:tc>
      </w:tr>
      <w:tr w14:paraId="2488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2CA9E34E">
            <w:pPr>
              <w:widowControl/>
              <w:jc w:val="left"/>
              <w:rPr>
                <w:rFonts w:ascii="宋体" w:hAnsi="宋体" w:cs="宋体"/>
                <w:kern w:val="0"/>
                <w:sz w:val="22"/>
              </w:rPr>
            </w:pPr>
            <w:r>
              <w:rPr>
                <w:rFonts w:hint="eastAsia" w:ascii="宋体" w:hAnsi="宋体" w:cs="宋体"/>
                <w:kern w:val="0"/>
                <w:sz w:val="22"/>
              </w:rPr>
              <w:t>项目完成及时率（%）</w:t>
            </w:r>
          </w:p>
        </w:tc>
        <w:tc>
          <w:tcPr>
            <w:tcW w:w="2268" w:type="dxa"/>
            <w:vAlign w:val="center"/>
          </w:tcPr>
          <w:p w14:paraId="12B2C5E9">
            <w:pPr>
              <w:widowControl/>
              <w:jc w:val="center"/>
              <w:rPr>
                <w:rFonts w:ascii="宋体" w:hAnsi="宋体" w:cs="宋体"/>
                <w:kern w:val="0"/>
                <w:sz w:val="22"/>
              </w:rPr>
            </w:pPr>
            <w:r>
              <w:rPr>
                <w:rFonts w:hint="eastAsia" w:ascii="宋体" w:hAnsi="宋体" w:cs="宋体"/>
                <w:kern w:val="0"/>
                <w:sz w:val="22"/>
              </w:rPr>
              <w:t>100.00%</w:t>
            </w:r>
          </w:p>
        </w:tc>
      </w:tr>
      <w:tr w14:paraId="63E54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301283F4">
            <w:pPr>
              <w:widowControl/>
              <w:jc w:val="left"/>
              <w:rPr>
                <w:rFonts w:ascii="宋体" w:hAnsi="宋体" w:cs="宋体"/>
                <w:kern w:val="0"/>
                <w:sz w:val="22"/>
              </w:rPr>
            </w:pPr>
            <w:r>
              <w:rPr>
                <w:rFonts w:hint="eastAsia" w:ascii="宋体" w:hAnsi="宋体" w:cs="宋体"/>
                <w:kern w:val="0"/>
                <w:sz w:val="22"/>
              </w:rPr>
              <w:t>项目验收合格率</w:t>
            </w:r>
          </w:p>
        </w:tc>
        <w:tc>
          <w:tcPr>
            <w:tcW w:w="2268" w:type="dxa"/>
            <w:vAlign w:val="center"/>
          </w:tcPr>
          <w:p w14:paraId="45FAB881">
            <w:pPr>
              <w:widowControl/>
              <w:jc w:val="center"/>
              <w:rPr>
                <w:rFonts w:ascii="宋体" w:hAnsi="宋体" w:cs="宋体"/>
                <w:kern w:val="0"/>
                <w:sz w:val="22"/>
              </w:rPr>
            </w:pPr>
            <w:r>
              <w:rPr>
                <w:rFonts w:hint="eastAsia" w:ascii="宋体" w:hAnsi="宋体" w:cs="宋体"/>
                <w:kern w:val="0"/>
                <w:sz w:val="22"/>
              </w:rPr>
              <w:t>100.00%</w:t>
            </w:r>
          </w:p>
        </w:tc>
      </w:tr>
      <w:tr w14:paraId="7A190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75DE8336">
            <w:pPr>
              <w:widowControl/>
              <w:jc w:val="left"/>
              <w:rPr>
                <w:rFonts w:ascii="宋体" w:hAnsi="宋体" w:cs="宋体"/>
                <w:kern w:val="0"/>
                <w:sz w:val="22"/>
              </w:rPr>
            </w:pPr>
            <w:r>
              <w:rPr>
                <w:rFonts w:hint="eastAsia" w:ascii="宋体" w:hAnsi="宋体" w:cs="宋体"/>
                <w:kern w:val="0"/>
                <w:sz w:val="22"/>
              </w:rPr>
              <w:t>项目验收率</w:t>
            </w:r>
          </w:p>
        </w:tc>
        <w:tc>
          <w:tcPr>
            <w:tcW w:w="2268" w:type="dxa"/>
            <w:vAlign w:val="center"/>
          </w:tcPr>
          <w:p w14:paraId="5C9A1740">
            <w:pPr>
              <w:widowControl/>
              <w:jc w:val="center"/>
              <w:rPr>
                <w:rFonts w:ascii="宋体" w:hAnsi="宋体" w:cs="宋体"/>
                <w:kern w:val="0"/>
                <w:sz w:val="22"/>
              </w:rPr>
            </w:pPr>
            <w:r>
              <w:rPr>
                <w:rFonts w:hint="eastAsia" w:ascii="宋体" w:hAnsi="宋体" w:cs="宋体"/>
                <w:kern w:val="0"/>
                <w:sz w:val="22"/>
              </w:rPr>
              <w:t>100.00%</w:t>
            </w:r>
          </w:p>
        </w:tc>
      </w:tr>
      <w:tr w14:paraId="05AD2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3C1F1B09">
            <w:pPr>
              <w:widowControl/>
              <w:jc w:val="left"/>
              <w:rPr>
                <w:rFonts w:ascii="宋体" w:hAnsi="宋体" w:cs="宋体"/>
                <w:kern w:val="0"/>
                <w:sz w:val="22"/>
              </w:rPr>
            </w:pPr>
            <w:r>
              <w:rPr>
                <w:rFonts w:hint="eastAsia" w:ascii="宋体" w:hAnsi="宋体" w:cs="宋体"/>
                <w:kern w:val="0"/>
                <w:sz w:val="22"/>
              </w:rPr>
              <w:t>促进社会稳定发展程度</w:t>
            </w:r>
          </w:p>
        </w:tc>
        <w:tc>
          <w:tcPr>
            <w:tcW w:w="2268" w:type="dxa"/>
            <w:vAlign w:val="center"/>
          </w:tcPr>
          <w:p w14:paraId="5A02B7A4">
            <w:pPr>
              <w:widowControl/>
              <w:jc w:val="center"/>
              <w:rPr>
                <w:rFonts w:ascii="宋体" w:hAnsi="宋体" w:cs="宋体"/>
                <w:kern w:val="0"/>
                <w:sz w:val="22"/>
              </w:rPr>
            </w:pPr>
            <w:r>
              <w:rPr>
                <w:rFonts w:hint="eastAsia" w:ascii="宋体" w:hAnsi="宋体" w:cs="宋体"/>
                <w:kern w:val="0"/>
                <w:sz w:val="22"/>
              </w:rPr>
              <w:t>100%</w:t>
            </w:r>
          </w:p>
        </w:tc>
      </w:tr>
    </w:tbl>
    <w:p w14:paraId="522844CA">
      <w:pPr>
        <w:pStyle w:val="12"/>
        <w:pageBreakBefore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未完成指标</w:t>
      </w:r>
    </w:p>
    <w:tbl>
      <w:tblPr>
        <w:tblStyle w:val="8"/>
        <w:tblW w:w="8506" w:type="dxa"/>
        <w:tblInd w:w="-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2268"/>
        <w:gridCol w:w="3119"/>
      </w:tblGrid>
      <w:tr w14:paraId="38E21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119" w:type="dxa"/>
            <w:shd w:val="clear" w:color="000000" w:fill="BFBFBF"/>
            <w:vAlign w:val="center"/>
          </w:tcPr>
          <w:p w14:paraId="011B6ECB">
            <w:pPr>
              <w:widowControl/>
              <w:jc w:val="left"/>
              <w:rPr>
                <w:rFonts w:ascii="仿宋" w:hAnsi="仿宋" w:eastAsia="仿宋" w:cs="宋体"/>
                <w:b/>
                <w:bCs/>
                <w:kern w:val="0"/>
                <w:sz w:val="22"/>
              </w:rPr>
            </w:pPr>
            <w:r>
              <w:rPr>
                <w:rFonts w:hint="eastAsia" w:ascii="仿宋" w:hAnsi="仿宋" w:eastAsia="仿宋" w:cs="宋体"/>
                <w:b/>
                <w:bCs/>
                <w:kern w:val="0"/>
                <w:sz w:val="22"/>
              </w:rPr>
              <w:t>指标名称</w:t>
            </w:r>
          </w:p>
        </w:tc>
        <w:tc>
          <w:tcPr>
            <w:tcW w:w="2268" w:type="dxa"/>
            <w:shd w:val="clear" w:color="000000" w:fill="BFBFBF"/>
          </w:tcPr>
          <w:p w14:paraId="47FB51F0">
            <w:pPr>
              <w:widowControl/>
              <w:jc w:val="center"/>
              <w:rPr>
                <w:rFonts w:ascii="仿宋" w:hAnsi="仿宋" w:eastAsia="仿宋" w:cs="宋体"/>
                <w:b/>
                <w:bCs/>
                <w:kern w:val="0"/>
                <w:sz w:val="22"/>
              </w:rPr>
            </w:pPr>
            <w:r>
              <w:rPr>
                <w:rFonts w:hint="eastAsia" w:ascii="仿宋" w:hAnsi="仿宋" w:eastAsia="仿宋" w:cs="宋体"/>
                <w:b/>
                <w:bCs/>
                <w:kern w:val="0"/>
                <w:sz w:val="22"/>
              </w:rPr>
              <w:t>实际值</w:t>
            </w:r>
          </w:p>
        </w:tc>
        <w:tc>
          <w:tcPr>
            <w:tcW w:w="3119" w:type="dxa"/>
            <w:shd w:val="clear" w:color="000000" w:fill="BFBFBF"/>
          </w:tcPr>
          <w:p w14:paraId="227C81E1">
            <w:pPr>
              <w:widowControl/>
              <w:jc w:val="center"/>
              <w:rPr>
                <w:rFonts w:ascii="仿宋" w:hAnsi="仿宋" w:eastAsia="仿宋" w:cs="宋体"/>
                <w:b/>
                <w:bCs/>
                <w:kern w:val="0"/>
                <w:sz w:val="22"/>
              </w:rPr>
            </w:pPr>
            <w:r>
              <w:rPr>
                <w:rFonts w:hint="eastAsia" w:ascii="仿宋" w:hAnsi="仿宋" w:eastAsia="仿宋" w:cs="宋体"/>
                <w:b/>
                <w:bCs/>
                <w:kern w:val="0"/>
                <w:sz w:val="22"/>
              </w:rPr>
              <w:t>偏差率</w:t>
            </w:r>
          </w:p>
        </w:tc>
      </w:tr>
      <w:tr w14:paraId="1F44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119" w:type="dxa"/>
            <w:shd w:val="clear" w:color="auto" w:fill="auto"/>
            <w:vAlign w:val="center"/>
          </w:tcPr>
          <w:p w14:paraId="3ADBBDED">
            <w:pPr>
              <w:widowControl/>
              <w:jc w:val="left"/>
              <w:rPr>
                <w:rFonts w:ascii="宋体" w:hAnsi="宋体" w:cs="宋体"/>
                <w:kern w:val="0"/>
                <w:sz w:val="22"/>
              </w:rPr>
            </w:pPr>
            <w:r>
              <w:rPr>
                <w:rFonts w:hint="eastAsia" w:ascii="宋体" w:hAnsi="宋体" w:cs="宋体"/>
                <w:kern w:val="0"/>
                <w:sz w:val="22"/>
              </w:rPr>
              <w:t>渠系工程水利设施维修养护公里数</w:t>
            </w:r>
          </w:p>
        </w:tc>
        <w:tc>
          <w:tcPr>
            <w:tcW w:w="2268" w:type="dxa"/>
            <w:vAlign w:val="center"/>
          </w:tcPr>
          <w:p w14:paraId="25FD4DD7">
            <w:pPr>
              <w:widowControl/>
              <w:jc w:val="center"/>
              <w:rPr>
                <w:rFonts w:ascii="宋体" w:hAnsi="宋体" w:cs="宋体"/>
                <w:kern w:val="0"/>
                <w:sz w:val="22"/>
              </w:rPr>
            </w:pPr>
            <w:r>
              <w:rPr>
                <w:rFonts w:hint="eastAsia" w:ascii="宋体" w:hAnsi="宋体" w:cs="宋体"/>
                <w:kern w:val="0"/>
                <w:sz w:val="22"/>
              </w:rPr>
              <w:t>125.37%</w:t>
            </w:r>
          </w:p>
        </w:tc>
        <w:tc>
          <w:tcPr>
            <w:tcW w:w="3119" w:type="dxa"/>
            <w:vAlign w:val="center"/>
          </w:tcPr>
          <w:p w14:paraId="1EDF689B">
            <w:pPr>
              <w:widowControl/>
              <w:jc w:val="center"/>
              <w:rPr>
                <w:rFonts w:ascii="宋体" w:hAnsi="宋体" w:cs="宋体"/>
                <w:kern w:val="0"/>
                <w:sz w:val="22"/>
              </w:rPr>
            </w:pPr>
            <w:r>
              <w:rPr>
                <w:rFonts w:hint="eastAsia" w:ascii="宋体" w:hAnsi="宋体" w:cs="宋体"/>
                <w:kern w:val="0"/>
                <w:sz w:val="22"/>
              </w:rPr>
              <w:t>-25.37%</w:t>
            </w:r>
          </w:p>
        </w:tc>
      </w:tr>
      <w:tr w14:paraId="2F958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119" w:type="dxa"/>
            <w:shd w:val="clear" w:color="auto" w:fill="auto"/>
            <w:vAlign w:val="center"/>
          </w:tcPr>
          <w:p w14:paraId="349D0564">
            <w:pPr>
              <w:widowControl/>
              <w:jc w:val="left"/>
              <w:rPr>
                <w:rFonts w:ascii="宋体" w:hAnsi="宋体" w:cs="宋体"/>
                <w:kern w:val="0"/>
                <w:sz w:val="22"/>
              </w:rPr>
            </w:pPr>
            <w:r>
              <w:rPr>
                <w:rFonts w:hint="eastAsia" w:ascii="宋体" w:hAnsi="宋体" w:cs="宋体"/>
                <w:kern w:val="0"/>
                <w:sz w:val="22"/>
              </w:rPr>
              <w:t>服务对象满意度（%）</w:t>
            </w:r>
          </w:p>
        </w:tc>
        <w:tc>
          <w:tcPr>
            <w:tcW w:w="2268" w:type="dxa"/>
            <w:vAlign w:val="center"/>
          </w:tcPr>
          <w:p w14:paraId="2F83E91D">
            <w:pPr>
              <w:widowControl/>
              <w:jc w:val="center"/>
              <w:rPr>
                <w:rFonts w:ascii="宋体" w:hAnsi="宋体" w:cs="宋体"/>
                <w:kern w:val="0"/>
                <w:sz w:val="22"/>
              </w:rPr>
            </w:pPr>
            <w:r>
              <w:rPr>
                <w:rFonts w:hint="eastAsia" w:ascii="宋体" w:hAnsi="宋体" w:cs="宋体"/>
                <w:kern w:val="0"/>
                <w:sz w:val="22"/>
              </w:rPr>
              <w:t>106.67%</w:t>
            </w:r>
          </w:p>
        </w:tc>
        <w:tc>
          <w:tcPr>
            <w:tcW w:w="3119" w:type="dxa"/>
            <w:vAlign w:val="center"/>
          </w:tcPr>
          <w:p w14:paraId="2D0BB3C6">
            <w:pPr>
              <w:widowControl/>
              <w:jc w:val="center"/>
              <w:rPr>
                <w:rFonts w:ascii="宋体" w:hAnsi="宋体" w:cs="宋体"/>
                <w:kern w:val="0"/>
                <w:sz w:val="22"/>
              </w:rPr>
            </w:pPr>
            <w:r>
              <w:rPr>
                <w:rFonts w:hint="eastAsia" w:ascii="宋体" w:hAnsi="宋体" w:cs="宋体"/>
                <w:kern w:val="0"/>
                <w:sz w:val="22"/>
              </w:rPr>
              <w:t>-6.67%</w:t>
            </w:r>
          </w:p>
        </w:tc>
      </w:tr>
    </w:tbl>
    <w:p w14:paraId="19CFF7D5">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pacing w:val="6"/>
          <w:sz w:val="28"/>
          <w:szCs w:val="28"/>
          <w:highlight w:val="none"/>
          <w:lang w:val="en-US" w:eastAsia="zh-CN"/>
        </w:rPr>
      </w:pPr>
      <w:r>
        <w:rPr>
          <w:rFonts w:hint="eastAsia" w:ascii="仿宋_GB2312" w:hAnsi="Times New Roman"/>
          <w:sz w:val="32"/>
          <w:szCs w:val="32"/>
          <w:lang w:val="en-US" w:eastAsia="zh-CN"/>
        </w:rPr>
        <w:t>1.</w:t>
      </w:r>
      <w:r>
        <w:rPr>
          <w:rFonts w:hint="eastAsia" w:ascii="仿宋_GB2312" w:hAnsi="Times New Roman" w:eastAsia="仿宋_GB2312"/>
          <w:sz w:val="32"/>
          <w:szCs w:val="32"/>
          <w:lang w:val="en-US" w:eastAsia="zh-CN"/>
        </w:rPr>
        <w:t>项目实施的社会效益分析</w:t>
      </w:r>
    </w:p>
    <w:p w14:paraId="0A3EEDE6">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工程建成后，能及时有效对渠道进行调配水，提高渠首引水及渠道输水能力，满足蓼泉、鸭暖、平川灌区农业生产灌溉灌水需求，为群众农业生产提供便利，方便灌溉运行管理，消除渠首溢流坝安全运行隐患，为灌区内实行计划用水、节约用水创造有利条件。</w:t>
      </w:r>
    </w:p>
    <w:p w14:paraId="5BCE04D5">
      <w:pPr>
        <w:pStyle w:val="3"/>
        <w:pageBreakBefore w:val="0"/>
        <w:widowControl/>
        <w:numPr>
          <w:ilvl w:val="1"/>
          <w:numId w:val="0"/>
        </w:numPr>
        <w:kinsoku/>
        <w:wordWrap/>
        <w:overflowPunct/>
        <w:topLinePunct w:val="0"/>
        <w:autoSpaceDE/>
        <w:autoSpaceDN/>
        <w:bidi w:val="0"/>
        <w:adjustRightInd/>
        <w:snapToGrid/>
        <w:spacing w:line="560" w:lineRule="exact"/>
        <w:ind w:firstLine="640" w:firstLineChars="200"/>
        <w:textAlignment w:val="auto"/>
        <w:rPr>
          <w:rFonts w:ascii="楷体" w:hAnsi="楷体" w:eastAsia="楷体" w:cs="Times New Roman"/>
          <w:bCs w:val="0"/>
          <w:color w:val="auto"/>
          <w:sz w:val="32"/>
          <w:szCs w:val="32"/>
        </w:rPr>
      </w:pPr>
      <w:r>
        <w:rPr>
          <w:rFonts w:hint="eastAsia" w:ascii="楷体" w:hAnsi="楷体" w:eastAsia="楷体" w:cs="Times New Roman"/>
          <w:bCs w:val="0"/>
          <w:color w:val="auto"/>
          <w:sz w:val="32"/>
          <w:szCs w:val="32"/>
        </w:rPr>
        <w:t>（五）满意度指标完成情况分析</w:t>
      </w:r>
    </w:p>
    <w:p w14:paraId="49B5E4F3">
      <w:pPr>
        <w:pageBreakBefore w:val="0"/>
        <w:widowControl/>
        <w:kinsoku/>
        <w:wordWrap/>
        <w:overflowPunct/>
        <w:topLinePunct w:val="0"/>
        <w:autoSpaceDE/>
        <w:autoSpaceDN/>
        <w:bidi w:val="0"/>
        <w:adjustRightInd/>
        <w:snapToGrid/>
        <w:spacing w:line="560" w:lineRule="exact"/>
        <w:ind w:firstLine="640"/>
        <w:textAlignment w:val="auto"/>
        <w:rPr>
          <w:rFonts w:hint="eastAsia" w:ascii="仿宋_GB2312"/>
          <w:color w:val="auto"/>
          <w:sz w:val="32"/>
          <w:szCs w:val="32"/>
        </w:rPr>
      </w:pPr>
      <w:r>
        <w:rPr>
          <w:rFonts w:hint="eastAsia" w:ascii="仿宋_GB2312" w:hAnsi="Times New Roman" w:eastAsia="仿宋_GB2312"/>
          <w:sz w:val="32"/>
          <w:szCs w:val="32"/>
          <w:lang w:val="en-US" w:eastAsia="zh-CN"/>
        </w:rPr>
        <w:t>临泽县小型水利建设项目2023年黑河沿岸灌区水毁修复工程</w:t>
      </w:r>
      <w:r>
        <w:rPr>
          <w:rFonts w:hint="eastAsia" w:ascii="仿宋_GB2312"/>
          <w:color w:val="auto"/>
          <w:sz w:val="32"/>
          <w:szCs w:val="32"/>
        </w:rPr>
        <w:t>发放调查问卷</w:t>
      </w:r>
      <w:r>
        <w:rPr>
          <w:rFonts w:hint="eastAsia" w:ascii="仿宋_GB2312"/>
          <w:color w:val="auto"/>
          <w:sz w:val="32"/>
          <w:szCs w:val="32"/>
          <w:lang w:val="en-US" w:eastAsia="zh-CN"/>
        </w:rPr>
        <w:t>30</w:t>
      </w:r>
      <w:r>
        <w:rPr>
          <w:rFonts w:hint="eastAsia" w:ascii="仿宋_GB2312"/>
          <w:color w:val="auto"/>
          <w:sz w:val="32"/>
          <w:szCs w:val="32"/>
        </w:rPr>
        <w:t>份，群众满意度100%。</w:t>
      </w:r>
    </w:p>
    <w:p w14:paraId="284A2137">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Times New Roman"/>
          <w:b w:val="0"/>
          <w:bCs/>
          <w:kern w:val="0"/>
          <w:sz w:val="32"/>
          <w:szCs w:val="32"/>
          <w:lang w:val="en-US" w:eastAsia="zh-CN" w:bidi="ar-SA"/>
        </w:rPr>
      </w:pPr>
      <w:bookmarkStart w:id="0" w:name="_Toc488925447"/>
      <w:bookmarkStart w:id="1" w:name="_Toc490218269"/>
      <w:bookmarkStart w:id="2" w:name="_Toc398675340"/>
      <w:bookmarkStart w:id="3" w:name="_Toc517260675"/>
      <w:r>
        <w:rPr>
          <w:rFonts w:hint="eastAsia" w:ascii="黑体" w:hAnsi="黑体" w:eastAsia="黑体" w:cs="Times New Roman"/>
          <w:b w:val="0"/>
          <w:bCs/>
          <w:kern w:val="0"/>
          <w:sz w:val="32"/>
          <w:szCs w:val="32"/>
          <w:lang w:val="zh-CN" w:eastAsia="zh-CN" w:bidi="ar-SA"/>
        </w:rPr>
        <w:t>三、</w:t>
      </w:r>
      <w:bookmarkEnd w:id="0"/>
      <w:bookmarkEnd w:id="1"/>
      <w:bookmarkEnd w:id="2"/>
      <w:r>
        <w:rPr>
          <w:rFonts w:hint="eastAsia" w:ascii="黑体" w:hAnsi="黑体" w:eastAsia="黑体" w:cs="Times New Roman"/>
          <w:b w:val="0"/>
          <w:bCs/>
          <w:kern w:val="0"/>
          <w:sz w:val="32"/>
          <w:szCs w:val="32"/>
          <w:lang w:val="zh-CN" w:eastAsia="zh-CN" w:bidi="ar-SA"/>
        </w:rPr>
        <w:t>存在问题和改进措施建议</w:t>
      </w:r>
      <w:bookmarkEnd w:id="3"/>
    </w:p>
    <w:p w14:paraId="039BFF6F">
      <w:pPr>
        <w:pStyle w:val="3"/>
        <w:keepNext/>
        <w:keepLines/>
        <w:pageBreakBefore w:val="0"/>
        <w:widowControl/>
        <w:kinsoku/>
        <w:wordWrap/>
        <w:overflowPunct/>
        <w:topLinePunct w:val="0"/>
        <w:autoSpaceDE/>
        <w:autoSpaceDN/>
        <w:bidi w:val="0"/>
        <w:adjustRightInd/>
        <w:snapToGrid/>
        <w:spacing w:before="0" w:after="0" w:line="600" w:lineRule="exact"/>
        <w:ind w:firstLine="643" w:firstLineChars="200"/>
        <w:textAlignment w:val="auto"/>
        <w:rPr>
          <w:rFonts w:hint="eastAsia" w:ascii="楷体" w:hAnsi="楷体" w:eastAsia="楷体" w:cs="Times New Roman"/>
          <w:b/>
          <w:bCs/>
          <w:color w:val="auto"/>
          <w:sz w:val="32"/>
          <w:lang w:val="en-US" w:eastAsia="zh-CN"/>
        </w:rPr>
      </w:pPr>
      <w:r>
        <w:rPr>
          <w:rFonts w:hint="eastAsia" w:ascii="楷体" w:hAnsi="楷体" w:eastAsia="楷体" w:cs="Times New Roman"/>
          <w:b/>
          <w:bCs/>
          <w:color w:val="auto"/>
          <w:sz w:val="32"/>
        </w:rPr>
        <w:t>（一）</w:t>
      </w:r>
      <w:r>
        <w:rPr>
          <w:rFonts w:hint="eastAsia" w:ascii="楷体" w:hAnsi="楷体" w:eastAsia="楷体" w:cs="Times New Roman"/>
          <w:b/>
          <w:bCs/>
          <w:color w:val="auto"/>
          <w:sz w:val="32"/>
          <w:lang w:val="en-US" w:eastAsia="zh-CN"/>
        </w:rPr>
        <w:t>存在问题</w:t>
      </w:r>
    </w:p>
    <w:p w14:paraId="27A29FDC">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无</w:t>
      </w:r>
    </w:p>
    <w:p w14:paraId="60D2C0C6">
      <w:pPr>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eastAsia" w:ascii="楷体" w:hAnsi="楷体" w:eastAsia="楷体" w:cs="Times New Roman"/>
          <w:b/>
          <w:bCs/>
          <w:color w:val="auto"/>
          <w:sz w:val="32"/>
          <w:lang w:eastAsia="zh-CN"/>
        </w:rPr>
      </w:pPr>
      <w:r>
        <w:rPr>
          <w:rFonts w:hint="eastAsia" w:ascii="楷体" w:hAnsi="楷体" w:eastAsia="楷体" w:cs="Times New Roman"/>
          <w:b/>
          <w:bCs/>
          <w:color w:val="auto"/>
          <w:sz w:val="32"/>
        </w:rPr>
        <w:t>（</w:t>
      </w:r>
      <w:r>
        <w:rPr>
          <w:rFonts w:hint="eastAsia" w:ascii="楷体" w:hAnsi="楷体" w:eastAsia="楷体" w:cs="Times New Roman"/>
          <w:b/>
          <w:bCs/>
          <w:color w:val="auto"/>
          <w:sz w:val="32"/>
          <w:lang w:val="en-US" w:eastAsia="zh-CN"/>
        </w:rPr>
        <w:t>二</w:t>
      </w:r>
      <w:r>
        <w:rPr>
          <w:rFonts w:hint="eastAsia" w:ascii="楷体" w:hAnsi="楷体" w:eastAsia="楷体" w:cs="Times New Roman"/>
          <w:b/>
          <w:bCs/>
          <w:color w:val="auto"/>
          <w:sz w:val="32"/>
        </w:rPr>
        <w:t>）</w:t>
      </w:r>
      <w:r>
        <w:rPr>
          <w:rFonts w:hint="eastAsia" w:ascii="楷体" w:hAnsi="楷体" w:eastAsia="楷体" w:cs="Times New Roman"/>
          <w:b/>
          <w:bCs/>
          <w:color w:val="auto"/>
          <w:sz w:val="32"/>
          <w:lang w:val="en-US" w:eastAsia="zh-CN"/>
        </w:rPr>
        <w:t>有关建议</w:t>
      </w:r>
    </w:p>
    <w:p w14:paraId="60DDC0E9">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1.严格落实项目责任主体负责制、招投标制、监理制、合同管理制、公示制和验收制等，克服困难，加快工程整体进度。</w:t>
      </w:r>
    </w:p>
    <w:p w14:paraId="0B9C099F">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2.健全体制机制，加强项目建设管理和计划执行调度。弥补项目设施维护管理上的漏洞，加强水利工程建成后的管理，进一步提高项目设施防灾减灾能力。</w:t>
      </w:r>
    </w:p>
    <w:p w14:paraId="22AEE3AC">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 xml:space="preserve">3.完善水利工程建设质量监督制度，加强各方面审计监督力度，严格执行财务制度，增强廉政风险防控，确保各项治理措施按序时进度推进、生产安全和保质保量完成各项工程建设任务。 </w:t>
      </w:r>
    </w:p>
    <w:p w14:paraId="5E8AB3D5">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p>
    <w:p w14:paraId="340D5F6B">
      <w:pPr>
        <w:ind w:firstLine="640"/>
        <w:rPr>
          <w:rFonts w:hint="default"/>
          <w:lang w:val="en-US" w:eastAsia="zh-CN"/>
        </w:rPr>
      </w:pPr>
    </w:p>
    <w:sectPr>
      <w:pgSz w:w="11906" w:h="16838"/>
      <w:pgMar w:top="1723" w:right="1633" w:bottom="1213"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48FA70"/>
    <w:multiLevelType w:val="singleLevel"/>
    <w:tmpl w:val="B648FA70"/>
    <w:lvl w:ilvl="0" w:tentative="0">
      <w:start w:val="1"/>
      <w:numFmt w:val="chineseCounting"/>
      <w:suff w:val="nothing"/>
      <w:lvlText w:val="%1、"/>
      <w:lvlJc w:val="left"/>
      <w:rPr>
        <w:rFonts w:hint="eastAsia"/>
      </w:rPr>
    </w:lvl>
  </w:abstractNum>
  <w:abstractNum w:abstractNumId="1">
    <w:nsid w:val="FFDFCF82"/>
    <w:multiLevelType w:val="multilevel"/>
    <w:tmpl w:val="FFDFCF82"/>
    <w:lvl w:ilvl="0" w:tentative="0">
      <w:start w:val="1"/>
      <w:numFmt w:val="decimal"/>
      <w:pStyle w:val="2"/>
      <w:suff w:val="space"/>
      <w:lvlText w:val="%1"/>
      <w:lvlJc w:val="left"/>
      <w:pPr>
        <w:ind w:left="3963" w:hanging="420"/>
      </w:pPr>
      <w:rPr>
        <w:rFonts w:hint="eastAsia"/>
      </w:rPr>
    </w:lvl>
    <w:lvl w:ilvl="1" w:tentative="0">
      <w:start w:val="1"/>
      <w:numFmt w:val="decimal"/>
      <w:pStyle w:val="3"/>
      <w:suff w:val="space"/>
      <w:lvlText w:val="%1.%2"/>
      <w:lvlJc w:val="left"/>
      <w:pPr>
        <w:ind w:left="0" w:firstLine="0"/>
      </w:pPr>
      <w:rPr>
        <w:rFonts w:hint="eastAsia" w:ascii="Times New Roman" w:hAnsi="Times New Roman"/>
        <w:b w:val="0"/>
        <w:bCs w:val="0"/>
        <w:i w:val="0"/>
        <w:iCs w:val="0"/>
        <w:caps w:val="0"/>
        <w:smallCaps w:val="0"/>
        <w:strike w:val="0"/>
        <w:dstrike w:val="0"/>
        <w:vanish w:val="0"/>
        <w:spacing w:val="0"/>
        <w:position w:val="0"/>
        <w:u w:val="none"/>
        <w:vertAlign w:val="baseline"/>
      </w:rPr>
    </w:lvl>
    <w:lvl w:ilvl="2" w:tentative="0">
      <w:start w:val="1"/>
      <w:numFmt w:val="decimal"/>
      <w:pStyle w:val="4"/>
      <w:suff w:val="space"/>
      <w:lvlText w:val="%1.%2.%3"/>
      <w:lvlJc w:val="left"/>
      <w:pPr>
        <w:ind w:left="0" w:firstLine="0"/>
      </w:pPr>
      <w:rPr>
        <w:rFonts w:hint="eastAsia" w:ascii="Times New Roman" w:hAnsi="Times New Roman"/>
        <w:b w:val="0"/>
        <w:bCs w:val="0"/>
        <w:i w:val="0"/>
        <w:iCs w:val="0"/>
        <w:caps w:val="0"/>
        <w:smallCaps w:val="0"/>
        <w:strike w:val="0"/>
        <w:dstrike w:val="0"/>
        <w:vanish w:val="0"/>
        <w:spacing w:val="0"/>
        <w:position w:val="0"/>
        <w:u w:val="none"/>
        <w:vertAlign w:val="baseline"/>
      </w:rPr>
    </w:lvl>
    <w:lvl w:ilvl="3" w:tentative="0">
      <w:start w:val="1"/>
      <w:numFmt w:val="decimal"/>
      <w:pStyle w:val="5"/>
      <w:suff w:val="space"/>
      <w:lvlText w:val="%1.%2.%3.%4"/>
      <w:lvlJc w:val="left"/>
      <w:pPr>
        <w:ind w:left="0" w:firstLine="0"/>
      </w:pPr>
      <w:rPr>
        <w:rFonts w:hint="eastAsia" w:ascii="Times New Roman" w:hAnsi="Times New Roman"/>
        <w:b w:val="0"/>
        <w:bCs w:val="0"/>
        <w:i w:val="0"/>
        <w:iCs w:val="0"/>
        <w:caps w:val="0"/>
        <w:smallCaps w:val="0"/>
        <w:strike w:val="0"/>
        <w:dstrike w:val="0"/>
        <w:vanish w:val="0"/>
        <w:spacing w:val="0"/>
        <w:position w:val="0"/>
        <w:u w:val="none"/>
        <w:vertAlign w:val="baseline"/>
      </w:rPr>
    </w:lvl>
    <w:lvl w:ilvl="4" w:tentative="0">
      <w:start w:val="1"/>
      <w:numFmt w:val="decimal"/>
      <w:lvlText w:val="%1.%2.%3.%4.%5"/>
      <w:lvlJc w:val="left"/>
      <w:pPr>
        <w:tabs>
          <w:tab w:val="left" w:pos="282"/>
        </w:tabs>
        <w:ind w:left="-2" w:firstLine="0"/>
      </w:pPr>
      <w:rPr>
        <w:rFonts w:hint="eastAsia"/>
      </w:rPr>
    </w:lvl>
    <w:lvl w:ilvl="5" w:tentative="0">
      <w:start w:val="1"/>
      <w:numFmt w:val="decimal"/>
      <w:lvlText w:val="%1.%2.%3.%4.%5.%6"/>
      <w:lvlJc w:val="left"/>
      <w:pPr>
        <w:tabs>
          <w:tab w:val="left" w:pos="282"/>
        </w:tabs>
        <w:ind w:left="-2" w:firstLine="0"/>
      </w:pPr>
      <w:rPr>
        <w:rFonts w:hint="eastAsia"/>
      </w:rPr>
    </w:lvl>
    <w:lvl w:ilvl="6" w:tentative="0">
      <w:start w:val="1"/>
      <w:numFmt w:val="decimal"/>
      <w:lvlText w:val="%1.%2.%3.%4.%5.%6.%7"/>
      <w:lvlJc w:val="left"/>
      <w:pPr>
        <w:tabs>
          <w:tab w:val="left" w:pos="282"/>
        </w:tabs>
        <w:ind w:left="-2" w:firstLine="0"/>
      </w:pPr>
      <w:rPr>
        <w:rFonts w:hint="eastAsia"/>
      </w:rPr>
    </w:lvl>
    <w:lvl w:ilvl="7" w:tentative="0">
      <w:start w:val="1"/>
      <w:numFmt w:val="decimal"/>
      <w:lvlText w:val="%1.%2.%3.%4.%5.%6.%7.%8"/>
      <w:lvlJc w:val="left"/>
      <w:pPr>
        <w:tabs>
          <w:tab w:val="left" w:pos="282"/>
        </w:tabs>
        <w:ind w:left="-2" w:firstLine="0"/>
      </w:pPr>
      <w:rPr>
        <w:rFonts w:hint="eastAsia"/>
      </w:rPr>
    </w:lvl>
    <w:lvl w:ilvl="8" w:tentative="0">
      <w:start w:val="1"/>
      <w:numFmt w:val="decimal"/>
      <w:lvlText w:val="%1.%2.%3.%4.%5.%6.%7.%8.%9"/>
      <w:lvlJc w:val="left"/>
      <w:pPr>
        <w:tabs>
          <w:tab w:val="left" w:pos="282"/>
        </w:tabs>
        <w:ind w:left="-2" w:firstLine="0"/>
      </w:pPr>
      <w:rPr>
        <w:rFonts w:hint="eastAsia"/>
      </w:rPr>
    </w:lvl>
  </w:abstractNum>
  <w:abstractNum w:abstractNumId="2">
    <w:nsid w:val="4E4C4F25"/>
    <w:multiLevelType w:val="singleLevel"/>
    <w:tmpl w:val="4E4C4F25"/>
    <w:lvl w:ilvl="0" w:tentative="0">
      <w:start w:val="1"/>
      <w:numFmt w:val="chineseCounting"/>
      <w:suff w:val="nothing"/>
      <w:lvlText w:val="（%1）"/>
      <w:lvlJc w:val="left"/>
      <w:pPr>
        <w:ind w:left="640" w:leftChars="0" w:firstLine="0" w:firstLineChars="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ZDg1NTNlMTkwYThiYzdlMjUyMzQ3NzhiNzJkMDIifQ=="/>
  </w:docVars>
  <w:rsids>
    <w:rsidRoot w:val="1A070929"/>
    <w:rsid w:val="05C005C6"/>
    <w:rsid w:val="062B463E"/>
    <w:rsid w:val="152E4023"/>
    <w:rsid w:val="15F96A0E"/>
    <w:rsid w:val="19AB3208"/>
    <w:rsid w:val="1A070929"/>
    <w:rsid w:val="1D7A7F51"/>
    <w:rsid w:val="1DE1625F"/>
    <w:rsid w:val="24653902"/>
    <w:rsid w:val="27D73B2E"/>
    <w:rsid w:val="289E4C72"/>
    <w:rsid w:val="2D397142"/>
    <w:rsid w:val="30AB6B41"/>
    <w:rsid w:val="39B76556"/>
    <w:rsid w:val="3D7B789B"/>
    <w:rsid w:val="3F147FA7"/>
    <w:rsid w:val="463D71C5"/>
    <w:rsid w:val="4D7C5695"/>
    <w:rsid w:val="58A36570"/>
    <w:rsid w:val="5C636205"/>
    <w:rsid w:val="5E430AA6"/>
    <w:rsid w:val="5ED2769F"/>
    <w:rsid w:val="6556551A"/>
    <w:rsid w:val="6B1F3D2C"/>
    <w:rsid w:val="757E794D"/>
    <w:rsid w:val="77585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60" w:lineRule="exact"/>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autoRedefine/>
    <w:qFormat/>
    <w:uiPriority w:val="0"/>
    <w:pPr>
      <w:widowControl/>
      <w:numPr>
        <w:ilvl w:val="0"/>
        <w:numId w:val="1"/>
      </w:numPr>
      <w:spacing w:before="50" w:beforeLines="50" w:after="50" w:afterLines="50"/>
      <w:ind w:left="0" w:firstLine="0" w:firstLineChars="0"/>
      <w:jc w:val="center"/>
      <w:outlineLvl w:val="0"/>
    </w:pPr>
    <w:rPr>
      <w:rFonts w:ascii="Times New Roman" w:hAnsi="Times New Roman" w:eastAsia="方正小标宋简体" w:cs="宋体"/>
      <w:bCs/>
      <w:sz w:val="32"/>
      <w:szCs w:val="48"/>
    </w:rPr>
  </w:style>
  <w:style w:type="paragraph" w:styleId="3">
    <w:name w:val="heading 2"/>
    <w:basedOn w:val="1"/>
    <w:next w:val="1"/>
    <w:autoRedefine/>
    <w:unhideWhenUsed/>
    <w:qFormat/>
    <w:uiPriority w:val="0"/>
    <w:pPr>
      <w:keepNext/>
      <w:keepLines/>
      <w:numPr>
        <w:ilvl w:val="1"/>
        <w:numId w:val="1"/>
      </w:numPr>
      <w:spacing w:beforeLines="0" w:beforeAutospacing="0" w:afterLines="0" w:afterAutospacing="0" w:line="600" w:lineRule="exact"/>
      <w:outlineLvl w:val="1"/>
    </w:pPr>
    <w:rPr>
      <w:rFonts w:ascii="Arial" w:hAnsi="Arial" w:eastAsia="黑体"/>
    </w:rPr>
  </w:style>
  <w:style w:type="paragraph" w:styleId="4">
    <w:name w:val="heading 3"/>
    <w:basedOn w:val="1"/>
    <w:next w:val="1"/>
    <w:autoRedefine/>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paragraph" w:styleId="5">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spacing w:line="580" w:lineRule="exact"/>
      <w:ind w:firstLine="420" w:firstLineChars="200"/>
    </w:pPr>
    <w:rPr>
      <w:rFonts w:eastAsia="仿宋_GB2312" w:cs="Times New Roman"/>
      <w:sz w:val="32"/>
    </w:rPr>
  </w:style>
  <w:style w:type="paragraph" w:styleId="7">
    <w:name w:val="Body Text"/>
    <w:basedOn w:val="1"/>
    <w:next w:val="6"/>
    <w:autoRedefine/>
    <w:qFormat/>
    <w:uiPriority w:val="0"/>
    <w:pPr>
      <w:spacing w:after="120"/>
    </w:pPr>
    <w:rPr>
      <w:rFonts w:ascii="Times New Roman" w:hAnsi="Times New Roman" w:eastAsia="仿宋_GB2312"/>
      <w:sz w:val="32"/>
    </w:rPr>
  </w:style>
  <w:style w:type="paragraph" w:customStyle="1" w:styleId="10">
    <w:name w:val="闻政标题3"/>
    <w:basedOn w:val="4"/>
    <w:autoRedefine/>
    <w:qFormat/>
    <w:uiPriority w:val="0"/>
    <w:pPr>
      <w:spacing w:before="120" w:after="60" w:line="500" w:lineRule="exact"/>
      <w:jc w:val="left"/>
      <w:outlineLvl w:val="0"/>
    </w:pPr>
    <w:rPr>
      <w:rFonts w:ascii="黑体" w:hAnsi="黑体" w:eastAsia="黑体"/>
      <w:b w:val="0"/>
    </w:rPr>
  </w:style>
  <w:style w:type="paragraph" w:customStyle="1" w:styleId="11">
    <w:name w:val="闻政标题4"/>
    <w:basedOn w:val="3"/>
    <w:autoRedefine/>
    <w:qFormat/>
    <w:uiPriority w:val="0"/>
    <w:pPr>
      <w:spacing w:before="120" w:after="60" w:line="500" w:lineRule="exact"/>
      <w:ind w:firstLine="200" w:firstLineChars="200"/>
      <w:jc w:val="left"/>
    </w:pPr>
    <w:rPr>
      <w:rFonts w:ascii="Times New Roman" w:hAnsi="Times New Roman" w:eastAsia="仿宋_GB2312"/>
      <w:sz w:val="28"/>
    </w:rPr>
  </w:style>
  <w:style w:type="paragraph" w:customStyle="1" w:styleId="12">
    <w:name w:val="闻政正文"/>
    <w:basedOn w:val="1"/>
    <w:autoRedefine/>
    <w:qFormat/>
    <w:uiPriority w:val="0"/>
    <w:pPr>
      <w:spacing w:line="500" w:lineRule="exact"/>
      <w:ind w:firstLine="560" w:firstLineChars="200"/>
    </w:pPr>
    <w:rPr>
      <w:rFonts w:eastAsia="仿宋_GB2312"/>
      <w:kern w:val="0"/>
      <w:sz w:val="28"/>
      <w:szCs w:val="28"/>
      <w:lang w:val="zh-CN"/>
    </w:rPr>
  </w:style>
  <w:style w:type="paragraph" w:customStyle="1" w:styleId="13">
    <w:name w:val="闻政表"/>
    <w:basedOn w:val="1"/>
    <w:autoRedefine/>
    <w:qFormat/>
    <w:uiPriority w:val="0"/>
    <w:pPr>
      <w:spacing w:before="60" w:after="60"/>
      <w:jc w:val="center"/>
    </w:pPr>
    <w:rPr>
      <w:rFonts w:eastAsia="仿宋_GB2312"/>
      <w:b/>
      <w:kern w:val="0"/>
      <w:sz w:val="24"/>
      <w:szCs w:val="28"/>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2409</Words>
  <Characters>2570</Characters>
  <Lines>0</Lines>
  <Paragraphs>0</Paragraphs>
  <TotalTime>26</TotalTime>
  <ScaleCrop>false</ScaleCrop>
  <LinksUpToDate>false</LinksUpToDate>
  <CharactersWithSpaces>2575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2023-12-28T08:28:00Z</dcterms:created>
  <dc:creator>℡ Tearing</dc:creator>
  <cp:lastModifiedBy>心飞扬</cp:lastModifiedBy>
  <dcterms:modified xsi:type="dcterms:W3CDTF">2024-09-20T07:31:38Z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74D8A47613A749958D36382276A996E0_11</vt:lpwstr>
  </property>
</Properties>
</file>