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BE31C">
      <w:pPr>
        <w:spacing w:before="120" w:after="120" w:line="480" w:lineRule="auto"/>
        <w:jc w:val="center"/>
        <w:rPr>
          <w:rFonts w:ascii="黑体" w:hAnsi="黑体" w:eastAsia="黑体"/>
          <w:b/>
          <w:sz w:val="32"/>
          <w:szCs w:val="32"/>
        </w:rPr>
      </w:pPr>
      <w:r>
        <w:rPr>
          <w:rFonts w:hint="eastAsia" w:ascii="黑体" w:hAnsi="黑体" w:eastAsia="黑体"/>
          <w:b/>
          <w:sz w:val="32"/>
          <w:szCs w:val="32"/>
        </w:rPr>
        <w:t>财政项目支出绩效自评价报告</w:t>
      </w:r>
    </w:p>
    <w:p w14:paraId="390BB485">
      <w:pPr>
        <w:spacing w:line="480" w:lineRule="auto"/>
        <w:jc w:val="center"/>
        <w:rPr>
          <w:rFonts w:eastAsia="黑体"/>
          <w:b/>
          <w:kern w:val="0"/>
          <w:sz w:val="50"/>
          <w:szCs w:val="50"/>
          <w:lang w:bidi="en-US"/>
        </w:rPr>
      </w:pPr>
    </w:p>
    <w:p w14:paraId="6FE493DE">
      <w:pPr>
        <w:spacing w:line="480" w:lineRule="auto"/>
        <w:jc w:val="center"/>
        <w:rPr>
          <w:rFonts w:eastAsia="黑体"/>
          <w:b/>
          <w:kern w:val="0"/>
          <w:sz w:val="50"/>
          <w:szCs w:val="50"/>
          <w:lang w:bidi="en-US"/>
        </w:rPr>
      </w:pPr>
    </w:p>
    <w:p w14:paraId="37D91CBB">
      <w:pPr>
        <w:spacing w:line="480" w:lineRule="auto"/>
        <w:jc w:val="center"/>
        <w:rPr>
          <w:rFonts w:eastAsia="黑体"/>
          <w:b/>
          <w:kern w:val="0"/>
          <w:sz w:val="50"/>
          <w:szCs w:val="50"/>
          <w:lang w:bidi="en-US"/>
        </w:rPr>
      </w:pPr>
    </w:p>
    <w:p w14:paraId="2DA933C0">
      <w:pPr>
        <w:spacing w:line="480" w:lineRule="auto"/>
        <w:jc w:val="center"/>
        <w:rPr>
          <w:rFonts w:eastAsia="黑体"/>
          <w:b/>
          <w:kern w:val="0"/>
          <w:sz w:val="50"/>
          <w:szCs w:val="50"/>
          <w:lang w:bidi="en-US"/>
        </w:rPr>
      </w:pPr>
    </w:p>
    <w:p w14:paraId="472687D2">
      <w:pPr>
        <w:spacing w:line="480" w:lineRule="auto"/>
        <w:jc w:val="center"/>
        <w:rPr>
          <w:rFonts w:eastAsia="黑体"/>
          <w:b/>
          <w:kern w:val="0"/>
          <w:sz w:val="50"/>
          <w:szCs w:val="50"/>
          <w:lang w:bidi="en-US"/>
        </w:rPr>
      </w:pPr>
    </w:p>
    <w:p w14:paraId="669F8D7A">
      <w:pPr>
        <w:spacing w:line="480" w:lineRule="auto"/>
        <w:jc w:val="center"/>
        <w:rPr>
          <w:rFonts w:eastAsia="黑体"/>
          <w:b/>
          <w:kern w:val="0"/>
          <w:sz w:val="50"/>
          <w:szCs w:val="50"/>
          <w:lang w:bidi="en-US"/>
        </w:rPr>
      </w:pPr>
    </w:p>
    <w:p w14:paraId="1553E39C">
      <w:pPr>
        <w:spacing w:line="480" w:lineRule="auto"/>
        <w:jc w:val="center"/>
        <w:rPr>
          <w:rFonts w:ascii="仿宋_GB2312"/>
          <w:kern w:val="0"/>
          <w:sz w:val="30"/>
          <w:szCs w:val="30"/>
          <w:lang w:bidi="en-US"/>
        </w:rPr>
      </w:pPr>
    </w:p>
    <w:p w14:paraId="2AA9DFA4">
      <w:pPr>
        <w:adjustRightInd w:val="0"/>
        <w:snapToGrid w:val="0"/>
        <w:spacing w:before="120" w:line="480" w:lineRule="auto"/>
        <w:ind w:firstLine="1400" w:firstLineChars="500"/>
        <w:jc w:val="left"/>
        <w:rPr>
          <w:rFonts w:ascii="黑体" w:hAnsi="黑体" w:eastAsia="黑体"/>
          <w:kern w:val="0"/>
          <w:sz w:val="28"/>
          <w:szCs w:val="28"/>
          <w:lang w:bidi="en-US"/>
        </w:rPr>
      </w:pPr>
      <w:r>
        <w:rPr>
          <w:rFonts w:hint="eastAsia" w:ascii="黑体" w:hAnsi="黑体" w:eastAsia="黑体"/>
          <w:kern w:val="0"/>
          <w:sz w:val="28"/>
          <w:szCs w:val="28"/>
          <w:lang w:bidi="en-US"/>
        </w:rPr>
        <w:t>项目名称：</w:t>
      </w:r>
      <w:r>
        <w:rPr>
          <w:rFonts w:ascii="黑体" w:hAnsi="黑体" w:eastAsia="黑体" w:cs="黑体"/>
          <w:color w:val="auto"/>
          <w:sz w:val="28"/>
          <w:u w:val="none"/>
        </w:rPr>
        <w:t>甘财农[2022]111号，提前下达2023年中央财政水利发展资金-2023年山洪灾害防治设施维修养护项目</w:t>
      </w:r>
      <w:r>
        <w:rPr>
          <w:rFonts w:ascii="黑体" w:hAnsi="黑体" w:eastAsia="黑体"/>
          <w:kern w:val="0"/>
          <w:sz w:val="28"/>
          <w:szCs w:val="28"/>
          <w:lang w:bidi="en-US"/>
        </w:rPr>
        <w:fldChar w:fldCharType="begin"/>
      </w:r>
      <w:r>
        <w:rPr>
          <w:rFonts w:hint="eastAsia" w:ascii="黑体" w:hAnsi="黑体" w:eastAsia="黑体"/>
          <w:kern w:val="0"/>
          <w:sz w:val="28"/>
          <w:szCs w:val="28"/>
          <w:lang w:bidi="en-US"/>
        </w:rPr>
        <w:instrText xml:space="preserve">MERGEFIELD  projectName  \* MERGEFORMAT</w:instrText>
      </w:r>
      <w:r>
        <w:rPr>
          <w:rFonts w:ascii="黑体" w:hAnsi="黑体" w:eastAsia="黑体"/>
          <w:kern w:val="0"/>
          <w:sz w:val="28"/>
          <w:szCs w:val="28"/>
          <w:lang w:bidi="en-US"/>
        </w:rPr>
        <w:fldChar w:fldCharType="end"/>
      </w:r>
    </w:p>
    <w:p w14:paraId="7D203AD2">
      <w:pPr>
        <w:adjustRightInd w:val="0"/>
        <w:snapToGrid w:val="0"/>
        <w:spacing w:before="120" w:line="480" w:lineRule="auto"/>
        <w:ind w:firstLine="1400" w:firstLineChars="500"/>
        <w:jc w:val="left"/>
        <w:rPr>
          <w:rFonts w:ascii="黑体" w:hAnsi="黑体" w:eastAsia="黑体"/>
          <w:kern w:val="0"/>
          <w:sz w:val="28"/>
          <w:szCs w:val="28"/>
          <w:lang w:bidi="en-US"/>
        </w:rPr>
      </w:pPr>
      <w:r>
        <w:rPr>
          <w:rFonts w:hint="eastAsia" w:ascii="黑体" w:hAnsi="黑体" w:eastAsia="黑体"/>
          <w:kern w:val="0"/>
          <w:sz w:val="28"/>
          <w:szCs w:val="28"/>
          <w:lang w:bidi="en-US"/>
        </w:rPr>
        <w:t>项目单位：</w:t>
      </w:r>
      <w:r>
        <w:rPr>
          <w:rFonts w:ascii="黑体" w:hAnsi="黑体" w:eastAsia="黑体" w:cs="黑体"/>
          <w:color w:val="auto"/>
          <w:sz w:val="28"/>
          <w:u w:val="none"/>
        </w:rPr>
        <w:t>临泽县水务局</w:t>
      </w:r>
    </w:p>
    <w:p w14:paraId="4771A1D2">
      <w:pPr>
        <w:adjustRightInd w:val="0"/>
        <w:snapToGrid w:val="0"/>
        <w:spacing w:before="120" w:line="480" w:lineRule="auto"/>
        <w:ind w:firstLine="1400" w:firstLineChars="500"/>
        <w:jc w:val="left"/>
        <w:rPr>
          <w:rFonts w:ascii="黑体" w:hAnsi="黑体" w:eastAsia="黑体"/>
          <w:kern w:val="0"/>
          <w:sz w:val="28"/>
          <w:szCs w:val="28"/>
          <w:lang w:bidi="en-US"/>
        </w:rPr>
      </w:pPr>
      <w:r>
        <w:rPr>
          <w:rFonts w:hint="eastAsia" w:ascii="黑体" w:hAnsi="黑体" w:eastAsia="黑体"/>
          <w:kern w:val="0"/>
          <w:sz w:val="28"/>
          <w:szCs w:val="28"/>
          <w:lang w:bidi="en-US"/>
        </w:rPr>
        <w:t>主管部门：</w:t>
      </w:r>
      <w:r>
        <w:rPr>
          <w:rFonts w:ascii="黑体" w:hAnsi="黑体" w:eastAsia="黑体" w:cs="黑体"/>
          <w:color w:val="auto"/>
          <w:sz w:val="28"/>
          <w:u w:val="none"/>
        </w:rPr>
        <w:t>临泽县水务局</w:t>
      </w:r>
    </w:p>
    <w:p w14:paraId="06AEAAD2">
      <w:pPr>
        <w:spacing w:line="480" w:lineRule="auto"/>
        <w:rPr>
          <w:rFonts w:ascii="黑体" w:eastAsia="黑体"/>
          <w:b/>
          <w:kern w:val="0"/>
          <w:sz w:val="32"/>
          <w:szCs w:val="32"/>
          <w:lang w:bidi="en-US"/>
        </w:rPr>
      </w:pPr>
    </w:p>
    <w:p w14:paraId="39C82CAC">
      <w:pPr>
        <w:spacing w:line="480" w:lineRule="auto"/>
        <w:rPr>
          <w:rFonts w:ascii="黑体" w:eastAsia="黑体"/>
          <w:b/>
          <w:kern w:val="0"/>
          <w:sz w:val="32"/>
          <w:szCs w:val="32"/>
          <w:lang w:bidi="en-US"/>
        </w:rPr>
      </w:pPr>
    </w:p>
    <w:p w14:paraId="5EAEDB35">
      <w:pPr>
        <w:adjustRightInd w:val="0"/>
        <w:snapToGrid w:val="0"/>
        <w:spacing w:before="120"/>
        <w:jc w:val="center"/>
        <w:rPr>
          <w:rFonts w:ascii="黑体" w:hAnsi="黑体" w:eastAsia="黑体"/>
          <w:kern w:val="0"/>
          <w:sz w:val="28"/>
          <w:szCs w:val="28"/>
          <w:lang w:bidi="en-US"/>
        </w:rPr>
      </w:pPr>
      <w:r>
        <w:rPr>
          <w:rFonts w:hint="eastAsia" w:ascii="黑体" w:hAnsi="黑体" w:eastAsia="黑体"/>
          <w:kern w:val="0"/>
          <w:sz w:val="28"/>
          <w:szCs w:val="28"/>
          <w:lang w:bidi="en-US"/>
        </w:rPr>
        <w:t>2023年</w:t>
      </w:r>
      <w:r>
        <w:rPr>
          <w:rFonts w:ascii="黑体" w:hAnsi="黑体" w:eastAsia="黑体"/>
          <w:kern w:val="0"/>
          <w:sz w:val="28"/>
          <w:szCs w:val="28"/>
          <w:lang w:bidi="en-US"/>
        </w:rPr>
        <w:t>12</w:t>
      </w:r>
      <w:r>
        <w:rPr>
          <w:rFonts w:ascii="黑体" w:hAnsi="黑体" w:eastAsia="黑体" w:cs="黑体"/>
          <w:color w:val="auto"/>
          <w:sz w:val="28"/>
          <w:u w:val="none"/>
        </w:rPr>
        <w:t>月</w:t>
      </w:r>
    </w:p>
    <w:p w14:paraId="23D6ED69">
      <w:pPr>
        <w:pStyle w:val="9"/>
        <w:rPr>
          <w:rFonts w:ascii="仿宋_GB2312"/>
          <w:kern w:val="0"/>
          <w:szCs w:val="32"/>
          <w:lang w:bidi="en-US"/>
        </w:rPr>
      </w:pPr>
    </w:p>
    <w:p w14:paraId="16E98763">
      <w:pPr>
        <w:ind w:firstLine="560"/>
      </w:pPr>
    </w:p>
    <w:p w14:paraId="067C78AC">
      <w:pPr>
        <w:widowControl/>
        <w:jc w:val="left"/>
      </w:pPr>
      <w:r>
        <w:br w:type="page"/>
      </w:r>
    </w:p>
    <w:p w14:paraId="37B3865F">
      <w:pPr>
        <w:adjustRightInd w:val="0"/>
        <w:snapToGrid w:val="0"/>
        <w:spacing w:before="480" w:after="360"/>
        <w:jc w:val="center"/>
        <w:rPr>
          <w:rStyle w:val="15"/>
          <w:rFonts w:ascii="黑体" w:hAnsi="黑体" w:eastAsia="黑体"/>
          <w:color w:val="000000"/>
          <w:sz w:val="32"/>
          <w:szCs w:val="32"/>
        </w:rPr>
      </w:pPr>
      <w:r>
        <w:rPr>
          <w:rStyle w:val="15"/>
          <w:rFonts w:hint="eastAsia" w:ascii="黑体" w:hAnsi="黑体" w:eastAsia="黑体"/>
          <w:color w:val="000000"/>
          <w:sz w:val="32"/>
          <w:szCs w:val="32"/>
        </w:rPr>
        <w:t>摘要</w:t>
      </w:r>
    </w:p>
    <w:p w14:paraId="1DF3D992">
      <w:pPr>
        <w:widowControl/>
        <w:jc w:val="left"/>
        <w:rPr>
          <w:rStyle w:val="15"/>
          <w:rFonts w:ascii="黑体" w:hAnsi="黑体" w:eastAsia="黑体"/>
          <w:color w:val="000000"/>
          <w:sz w:val="32"/>
          <w:szCs w:val="32"/>
        </w:rPr>
      </w:pPr>
      <w:r>
        <w:rPr>
          <w:rStyle w:val="15"/>
          <w:rFonts w:ascii="黑体" w:hAnsi="黑体" w:eastAsia="黑体"/>
          <w:color w:val="000000"/>
          <w:sz w:val="32"/>
          <w:szCs w:val="32"/>
        </w:rPr>
        <w:br w:type="page"/>
      </w:r>
    </w:p>
    <w:p w14:paraId="1AD00E41">
      <w:pPr>
        <w:pStyle w:val="2"/>
        <w:numPr>
          <w:ilvl w:val="0"/>
          <w:numId w:val="0"/>
        </w:numPr>
        <w:bidi w:val="0"/>
        <w:ind w:leftChars="0" w:firstLine="1800" w:firstLineChars="500"/>
        <w:jc w:val="both"/>
        <w:rPr>
          <w:rFonts w:hint="eastAsia"/>
          <w:sz w:val="36"/>
          <w:szCs w:val="36"/>
          <w:lang w:val="en-US" w:eastAsia="zh-CN"/>
        </w:rPr>
      </w:pPr>
      <w:r>
        <w:rPr>
          <w:rFonts w:hint="eastAsia"/>
          <w:sz w:val="36"/>
          <w:szCs w:val="36"/>
          <w:lang w:val="en-US" w:eastAsia="zh-CN"/>
        </w:rPr>
        <w:t>财政项目支出绩效自评价报告</w:t>
      </w:r>
    </w:p>
    <w:p w14:paraId="2A6ACCC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楷体_GB2312" w:hAnsi="楷体_GB2312" w:eastAsia="楷体_GB2312" w:cs="楷体_GB2312"/>
          <w:spacing w:val="-11"/>
          <w:w w:val="90"/>
          <w:sz w:val="36"/>
          <w:szCs w:val="36"/>
          <w:lang w:val="en-US" w:eastAsia="zh-CN"/>
        </w:rPr>
      </w:pPr>
      <w:r>
        <w:rPr>
          <w:rFonts w:hint="eastAsia" w:ascii="楷体_GB2312" w:hAnsi="楷体_GB2312" w:eastAsia="楷体_GB2312" w:cs="楷体_GB2312"/>
          <w:spacing w:val="-11"/>
          <w:w w:val="90"/>
          <w:sz w:val="36"/>
          <w:szCs w:val="36"/>
          <w:lang w:val="en-US" w:eastAsia="zh-CN"/>
        </w:rPr>
        <w:t>临泽县小型水利建设项目</w:t>
      </w:r>
    </w:p>
    <w:p w14:paraId="0361907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spacing w:val="-11"/>
          <w:lang w:val="en-US" w:eastAsia="zh-CN"/>
        </w:rPr>
      </w:pPr>
      <w:r>
        <w:rPr>
          <w:rFonts w:hint="eastAsia" w:ascii="楷体_GB2312" w:hAnsi="楷体_GB2312" w:eastAsia="楷体_GB2312" w:cs="楷体_GB2312"/>
          <w:spacing w:val="-11"/>
          <w:w w:val="90"/>
          <w:sz w:val="36"/>
          <w:szCs w:val="36"/>
          <w:lang w:val="en-US" w:eastAsia="zh-CN"/>
        </w:rPr>
        <w:t>2023年度山洪灾害防治设施维修养护项目</w:t>
      </w:r>
    </w:p>
    <w:p w14:paraId="3E555469">
      <w:pPr>
        <w:jc w:val="both"/>
        <w:rPr>
          <w:rFonts w:hint="default"/>
          <w:lang w:val="en-US" w:eastAsia="zh-CN"/>
        </w:rPr>
      </w:pPr>
    </w:p>
    <w:p w14:paraId="2967A2D0">
      <w:pPr>
        <w:numPr>
          <w:ilvl w:val="0"/>
          <w:numId w:val="2"/>
        </w:numPr>
        <w:ind w:firstLine="640" w:firstLineChars="200"/>
        <w:jc w:val="both"/>
        <w:rPr>
          <w:rFonts w:hint="eastAsia" w:ascii="黑体" w:hAnsi="黑体" w:eastAsia="黑体" w:cs="黑体"/>
          <w:lang w:val="en-US" w:eastAsia="zh-CN"/>
        </w:rPr>
      </w:pPr>
      <w:r>
        <w:rPr>
          <w:rFonts w:hint="eastAsia" w:ascii="黑体" w:hAnsi="黑体" w:eastAsia="黑体" w:cs="黑体"/>
          <w:lang w:val="en-US" w:eastAsia="zh-CN"/>
        </w:rPr>
        <w:t>工程基本情况</w:t>
      </w:r>
    </w:p>
    <w:p w14:paraId="610910D7">
      <w:pPr>
        <w:numPr>
          <w:ilvl w:val="0"/>
          <w:numId w:val="3"/>
        </w:numPr>
        <w:ind w:left="640" w:leftChars="0" w:firstLine="0" w:firstLineChars="0"/>
        <w:jc w:val="both"/>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项目情况</w:t>
      </w:r>
    </w:p>
    <w:p w14:paraId="1B8CDB4A">
      <w:pPr>
        <w:numPr>
          <w:ilvl w:val="0"/>
          <w:numId w:val="0"/>
        </w:numPr>
        <w:ind w:firstLine="640"/>
        <w:jc w:val="both"/>
        <w:rPr>
          <w:rFonts w:hint="eastAsia"/>
          <w:lang w:val="en-US" w:eastAsia="zh-CN"/>
        </w:rPr>
      </w:pPr>
      <w:r>
        <w:rPr>
          <w:rFonts w:hint="eastAsia"/>
          <w:lang w:val="en-US" w:eastAsia="zh-CN"/>
        </w:rPr>
        <w:t>临泽县地处祁连山北麓，地形地质条件复杂，降雨时空分布不均，每年汛期6-9月降水约占全年的70-80%，特别是山区大部分小流域无常年径流，来水主要集中在几次暴雨洪水中，再加上流域面积小，河道流程短，一发生暴雨往往就地起洪，来势凶猛，极易成灾，发生频次高，损失严重，对人民群众的生命财产安全构成极大的损害和威胁，已经成为当前防灾减灾中的突出问题，是临泽县经济社会可持续发展的重要制约因素之一。为进一步提高监测预警设施设备运行保障能力，持续开展群测群防体系建设，增强群众主动防灾避险意识及应急救援保障能力，节水办委托智诚建科设计有限公司经过详细的踏勘，编制了《临泽县小型水利建设项目2023年度山洪灾害防治设施维修养护项目实施方案》。</w:t>
      </w:r>
    </w:p>
    <w:p w14:paraId="112EB554">
      <w:pPr>
        <w:numPr>
          <w:ilvl w:val="0"/>
          <w:numId w:val="0"/>
        </w:numPr>
        <w:ind w:firstLine="640"/>
        <w:jc w:val="both"/>
        <w:rPr>
          <w:rFonts w:hint="eastAsia"/>
          <w:lang w:val="en-US" w:eastAsia="zh-CN"/>
        </w:rPr>
      </w:pPr>
      <w:r>
        <w:rPr>
          <w:rFonts w:hint="eastAsia"/>
          <w:lang w:val="en-US" w:eastAsia="zh-CN"/>
        </w:rPr>
        <w:t>2023年3月21日，</w:t>
      </w:r>
      <w:r>
        <w:rPr>
          <w:rFonts w:hint="eastAsia" w:ascii="仿宋_GB2312" w:hAnsi="Times New Roman" w:cs="Times New Roman"/>
          <w:b w:val="0"/>
          <w:bCs w:val="0"/>
          <w:kern w:val="2"/>
          <w:sz w:val="32"/>
          <w:szCs w:val="32"/>
          <w:lang w:val="en-US" w:eastAsia="zh-CN" w:bidi="ar-SA"/>
        </w:rPr>
        <w:t>临泽县水务</w:t>
      </w:r>
      <w:r>
        <w:rPr>
          <w:rFonts w:hint="eastAsia" w:ascii="仿宋_GB2312" w:hAnsi="Times New Roman" w:eastAsia="仿宋_GB2312" w:cs="Times New Roman"/>
          <w:b w:val="0"/>
          <w:bCs w:val="0"/>
          <w:kern w:val="2"/>
          <w:sz w:val="32"/>
          <w:szCs w:val="32"/>
          <w:lang w:val="en-US" w:eastAsia="zh-CN" w:bidi="ar-SA"/>
        </w:rPr>
        <w:t>局以临水</w:t>
      </w:r>
      <w:r>
        <w:rPr>
          <w:rFonts w:hint="eastAsia"/>
          <w:lang w:val="en-US" w:eastAsia="zh-CN"/>
        </w:rPr>
        <w:t>建字〔2023〕35号文件批复工程实施，工程主要建设内容为：</w:t>
      </w:r>
    </w:p>
    <w:p w14:paraId="333492E4">
      <w:pPr>
        <w:numPr>
          <w:ilvl w:val="0"/>
          <w:numId w:val="0"/>
        </w:numPr>
        <w:ind w:firstLine="640"/>
        <w:jc w:val="both"/>
        <w:rPr>
          <w:rFonts w:hint="eastAsia"/>
          <w:lang w:val="en-US" w:eastAsia="zh-CN"/>
        </w:rPr>
      </w:pPr>
      <w:r>
        <w:rPr>
          <w:rFonts w:hint="eastAsia"/>
          <w:lang w:val="en-US" w:eastAsia="zh-CN"/>
        </w:rPr>
        <w:t>（1）建立危险区动态管理清单。主要针对平川、板桥、新华、倪家营4处危险区动态管理清单，按年度进一步明确监测站点、预警指标、责任人等内容，并纳入山洪灾害监测预警平台和山洪灾害防御预案。</w:t>
      </w:r>
    </w:p>
    <w:p w14:paraId="754D9DE6">
      <w:pPr>
        <w:numPr>
          <w:ilvl w:val="0"/>
          <w:numId w:val="0"/>
        </w:numPr>
        <w:ind w:firstLine="640"/>
        <w:jc w:val="both"/>
        <w:rPr>
          <w:rFonts w:hint="eastAsia"/>
          <w:lang w:val="en-US" w:eastAsia="zh-CN"/>
        </w:rPr>
      </w:pPr>
      <w:r>
        <w:rPr>
          <w:rFonts w:hint="eastAsia"/>
          <w:lang w:val="en-US" w:eastAsia="zh-CN"/>
        </w:rPr>
        <w:t>（2）提升山洪灾害监测预警能力。</w:t>
      </w:r>
    </w:p>
    <w:p w14:paraId="7CFAD638">
      <w:pPr>
        <w:numPr>
          <w:ilvl w:val="0"/>
          <w:numId w:val="0"/>
        </w:numPr>
        <w:ind w:firstLine="640"/>
        <w:jc w:val="both"/>
        <w:rPr>
          <w:rFonts w:hint="eastAsia"/>
          <w:lang w:val="en-US" w:eastAsia="zh-CN"/>
        </w:rPr>
      </w:pPr>
      <w:r>
        <w:rPr>
          <w:rFonts w:hint="eastAsia"/>
          <w:lang w:val="en-US" w:eastAsia="zh-CN"/>
        </w:rPr>
        <w:t>①新建自动雨量站8处。一是进一步扩大雨量监测范围，对平川、板桥的雨量监测范围向北部沿山地带延伸，新建自动雨量站6处。②维修改造无线预警广播3处，③维修改造自动雨量站6处。</w:t>
      </w:r>
    </w:p>
    <w:p w14:paraId="2EB6E546">
      <w:pPr>
        <w:numPr>
          <w:ilvl w:val="0"/>
          <w:numId w:val="4"/>
        </w:numPr>
        <w:ind w:firstLine="640"/>
        <w:jc w:val="both"/>
        <w:rPr>
          <w:rFonts w:hint="eastAsia"/>
          <w:lang w:val="en-US" w:eastAsia="zh-CN"/>
        </w:rPr>
      </w:pPr>
      <w:r>
        <w:rPr>
          <w:rFonts w:hint="eastAsia"/>
          <w:lang w:val="en-US" w:eastAsia="zh-CN"/>
        </w:rPr>
        <w:t>完善群策群防体系。开展山洪灾害培训300人次，演练4场次，更换警示牌、指示牌20块，制作明白卡2000张，宣传口杯50000只。</w:t>
      </w:r>
    </w:p>
    <w:p w14:paraId="5A7DF1EF">
      <w:pPr>
        <w:numPr>
          <w:ilvl w:val="0"/>
          <w:numId w:val="0"/>
        </w:numPr>
        <w:ind w:firstLine="640" w:firstLineChars="200"/>
        <w:jc w:val="both"/>
        <w:rPr>
          <w:rFonts w:hint="eastAsia"/>
          <w:lang w:val="en-US" w:eastAsia="zh-CN"/>
        </w:rPr>
      </w:pPr>
      <w:r>
        <w:rPr>
          <w:rFonts w:hint="eastAsia"/>
          <w:lang w:val="en-US" w:eastAsia="zh-CN"/>
        </w:rPr>
        <w:t>工程批复总投资21.64万元。</w:t>
      </w:r>
    </w:p>
    <w:p w14:paraId="40A4F8BD">
      <w:pPr>
        <w:keepNext w:val="0"/>
        <w:keepLines w:val="0"/>
        <w:pageBreakBefore w:val="0"/>
        <w:widowControl w:val="0"/>
        <w:kinsoku/>
        <w:wordWrap/>
        <w:overflowPunct/>
        <w:topLinePunct w:val="0"/>
        <w:autoSpaceDE/>
        <w:autoSpaceDN/>
        <w:bidi w:val="0"/>
        <w:adjustRightInd w:val="0"/>
        <w:snapToGrid w:val="0"/>
        <w:spacing w:line="600" w:lineRule="exact"/>
        <w:ind w:firstLine="643"/>
        <w:textAlignment w:val="auto"/>
        <w:outlineLvl w:val="0"/>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（二）预算资金情况</w:t>
      </w:r>
    </w:p>
    <w:p w14:paraId="69184052">
      <w:pPr>
        <w:pStyle w:val="14"/>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项目总预算金额：</w:t>
      </w:r>
      <w:r>
        <w:rPr>
          <w:rFonts w:hint="eastAsia" w:ascii="仿宋_GB2312" w:hAnsi="Times New Roman" w:cs="Times New Roman"/>
          <w:b w:val="0"/>
          <w:bCs w:val="0"/>
          <w:kern w:val="2"/>
          <w:sz w:val="32"/>
          <w:szCs w:val="32"/>
          <w:lang w:val="en-US" w:eastAsia="zh-CN" w:bidi="ar-SA"/>
        </w:rPr>
        <w:t>21万</w:t>
      </w:r>
      <w:r>
        <w:rPr>
          <w:rFonts w:hint="eastAsia" w:ascii="仿宋_GB2312" w:hAnsi="Times New Roman" w:eastAsia="仿宋_GB2312" w:cs="Times New Roman"/>
          <w:b w:val="0"/>
          <w:bCs w:val="0"/>
          <w:kern w:val="2"/>
          <w:sz w:val="32"/>
          <w:szCs w:val="32"/>
          <w:lang w:val="en-US" w:eastAsia="zh-CN" w:bidi="ar-SA"/>
        </w:rPr>
        <w:t>元；</w:t>
      </w:r>
    </w:p>
    <w:p w14:paraId="19BD2539">
      <w:pPr>
        <w:pStyle w:val="14"/>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项目当年预算金额：</w:t>
      </w:r>
      <w:r>
        <w:rPr>
          <w:rFonts w:hint="eastAsia" w:ascii="仿宋_GB2312" w:hAnsi="Times New Roman" w:cs="Times New Roman"/>
          <w:b w:val="0"/>
          <w:bCs w:val="0"/>
          <w:kern w:val="2"/>
          <w:sz w:val="32"/>
          <w:szCs w:val="32"/>
          <w:lang w:val="en-US" w:eastAsia="zh-CN" w:bidi="ar-SA"/>
        </w:rPr>
        <w:t>21万</w:t>
      </w:r>
      <w:r>
        <w:rPr>
          <w:rFonts w:hint="eastAsia" w:ascii="仿宋_GB2312" w:hAnsi="Times New Roman" w:eastAsia="仿宋_GB2312" w:cs="Times New Roman"/>
          <w:b w:val="0"/>
          <w:bCs w:val="0"/>
          <w:kern w:val="2"/>
          <w:sz w:val="32"/>
          <w:szCs w:val="32"/>
          <w:lang w:val="en-US" w:eastAsia="zh-CN" w:bidi="ar-SA"/>
        </w:rPr>
        <w:t>元；</w:t>
      </w:r>
    </w:p>
    <w:p w14:paraId="7F0642E2">
      <w:pPr>
        <w:numPr>
          <w:ilvl w:val="0"/>
          <w:numId w:val="0"/>
        </w:numPr>
        <w:ind w:firstLine="640"/>
        <w:jc w:val="both"/>
        <w:rPr>
          <w:rFonts w:hint="default"/>
          <w:lang w:val="en-US" w:eastAsia="zh-CN"/>
        </w:rPr>
      </w:pPr>
      <w:r>
        <w:rPr>
          <w:rFonts w:hint="eastAsia" w:ascii="仿宋_GB2312" w:hAnsi="Times New Roman" w:eastAsia="仿宋_GB2312" w:cs="Times New Roman"/>
          <w:b w:val="0"/>
          <w:bCs w:val="0"/>
          <w:kern w:val="2"/>
          <w:sz w:val="32"/>
          <w:szCs w:val="32"/>
          <w:lang w:val="en-US" w:eastAsia="zh-CN" w:bidi="ar-SA"/>
        </w:rPr>
        <w:t>根据</w:t>
      </w:r>
      <w:r>
        <w:rPr>
          <w:rFonts w:hint="eastAsia" w:ascii="仿宋_GB2312" w:hAnsi="Times New Roman" w:cs="Times New Roman"/>
          <w:b w:val="0"/>
          <w:bCs w:val="0"/>
          <w:kern w:val="2"/>
          <w:sz w:val="32"/>
          <w:szCs w:val="32"/>
          <w:lang w:val="en-US" w:eastAsia="zh-CN" w:bidi="ar-SA"/>
        </w:rPr>
        <w:t>《甘肃省财政厅关于提前下达2023年</w:t>
      </w:r>
      <w:r>
        <w:rPr>
          <w:rFonts w:hint="eastAsia" w:ascii="仿宋_GB2312" w:cs="Times New Roman"/>
          <w:b w:val="0"/>
          <w:bCs w:val="0"/>
          <w:kern w:val="2"/>
          <w:sz w:val="32"/>
          <w:szCs w:val="32"/>
          <w:lang w:val="en-US" w:eastAsia="zh-CN" w:bidi="ar-SA"/>
        </w:rPr>
        <w:t>中央财政水利发展资金</w:t>
      </w:r>
      <w:r>
        <w:rPr>
          <w:rFonts w:hint="eastAsia" w:ascii="仿宋_GB2312" w:hAnsi="Times New Roman" w:cs="Times New Roman"/>
          <w:b w:val="0"/>
          <w:bCs w:val="0"/>
          <w:kern w:val="2"/>
          <w:sz w:val="32"/>
          <w:szCs w:val="32"/>
          <w:lang w:val="en-US" w:eastAsia="zh-CN" w:bidi="ar-SA"/>
        </w:rPr>
        <w:t>预算的通知》（甘财农</w:t>
      </w:r>
      <w:r>
        <w:rPr>
          <w:rFonts w:hint="eastAsia" w:ascii="仿宋_GB2312" w:hAnsi="Times New Roman" w:eastAsia="仿宋_GB2312" w:cs="Times New Roman"/>
          <w:b w:val="0"/>
          <w:bCs w:val="0"/>
          <w:kern w:val="2"/>
          <w:sz w:val="32"/>
          <w:szCs w:val="32"/>
          <w:lang w:val="en-US" w:eastAsia="zh-CN" w:bidi="ar-SA"/>
        </w:rPr>
        <w:t>〔202</w:t>
      </w:r>
      <w:r>
        <w:rPr>
          <w:rFonts w:hint="eastAsia" w:ascii="仿宋_GB2312" w:hAnsi="Times New Roman" w:cs="Times New Roman"/>
          <w:b w:val="0"/>
          <w:bCs w:val="0"/>
          <w:kern w:val="2"/>
          <w:sz w:val="32"/>
          <w:szCs w:val="32"/>
          <w:lang w:val="en-US" w:eastAsia="zh-CN" w:bidi="ar-SA"/>
        </w:rPr>
        <w:t>2</w:t>
      </w:r>
      <w:r>
        <w:rPr>
          <w:rFonts w:hint="eastAsia" w:ascii="仿宋_GB2312" w:hAnsi="Times New Roman" w:eastAsia="仿宋_GB2312" w:cs="Times New Roman"/>
          <w:b w:val="0"/>
          <w:bCs w:val="0"/>
          <w:kern w:val="2"/>
          <w:sz w:val="32"/>
          <w:szCs w:val="32"/>
          <w:lang w:val="en-US" w:eastAsia="zh-CN" w:bidi="ar-SA"/>
        </w:rPr>
        <w:t>〕</w:t>
      </w:r>
      <w:r>
        <w:rPr>
          <w:rFonts w:hint="eastAsia" w:ascii="仿宋_GB2312" w:hAnsi="Times New Roman" w:cs="Times New Roman"/>
          <w:b w:val="0"/>
          <w:bCs w:val="0"/>
          <w:kern w:val="2"/>
          <w:sz w:val="32"/>
          <w:szCs w:val="32"/>
          <w:lang w:val="en-US" w:eastAsia="zh-CN" w:bidi="ar-SA"/>
        </w:rPr>
        <w:t>1</w:t>
      </w:r>
      <w:r>
        <w:rPr>
          <w:rFonts w:hint="eastAsia" w:ascii="仿宋_GB2312" w:cs="Times New Roman"/>
          <w:b w:val="0"/>
          <w:bCs w:val="0"/>
          <w:kern w:val="2"/>
          <w:sz w:val="32"/>
          <w:szCs w:val="32"/>
          <w:lang w:val="en-US" w:eastAsia="zh-CN" w:bidi="ar-SA"/>
        </w:rPr>
        <w:t>11</w:t>
      </w:r>
      <w:r>
        <w:rPr>
          <w:rFonts w:hint="eastAsia" w:ascii="仿宋_GB2312" w:hAnsi="Times New Roman" w:cs="Times New Roman"/>
          <w:b w:val="0"/>
          <w:bCs w:val="0"/>
          <w:kern w:val="2"/>
          <w:sz w:val="32"/>
          <w:szCs w:val="32"/>
          <w:lang w:val="en-US" w:eastAsia="zh-CN" w:bidi="ar-SA"/>
        </w:rPr>
        <w:t>号）下达本工程建设资金</w:t>
      </w:r>
      <w:r>
        <w:rPr>
          <w:rFonts w:hint="eastAsia" w:ascii="仿宋_GB2312" w:cs="Times New Roman"/>
          <w:b w:val="0"/>
          <w:bCs w:val="0"/>
          <w:kern w:val="2"/>
          <w:sz w:val="32"/>
          <w:szCs w:val="32"/>
          <w:lang w:val="en-US" w:eastAsia="zh-CN" w:bidi="ar-SA"/>
        </w:rPr>
        <w:t>21</w:t>
      </w:r>
      <w:r>
        <w:rPr>
          <w:rFonts w:hint="eastAsia" w:ascii="仿宋_GB2312" w:hAnsi="Times New Roman" w:cs="Times New Roman"/>
          <w:b w:val="0"/>
          <w:bCs w:val="0"/>
          <w:kern w:val="2"/>
          <w:sz w:val="32"/>
          <w:szCs w:val="32"/>
          <w:lang w:val="en-US" w:eastAsia="zh-CN" w:bidi="ar-SA"/>
        </w:rPr>
        <w:t>万元。</w:t>
      </w:r>
    </w:p>
    <w:p w14:paraId="46A246E0">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0"/>
        <w:rPr>
          <w:rFonts w:ascii="黑体" w:hAnsi="黑体" w:eastAsia="黑体" w:cs="Times New Roman"/>
          <w:b w:val="0"/>
          <w:bCs/>
          <w:kern w:val="0"/>
          <w:sz w:val="32"/>
          <w:szCs w:val="32"/>
          <w:lang w:val="en-US" w:eastAsia="zh-CN" w:bidi="ar-SA"/>
        </w:rPr>
      </w:pPr>
      <w:r>
        <w:rPr>
          <w:rFonts w:hint="eastAsia" w:ascii="黑体" w:hAnsi="黑体" w:eastAsia="黑体" w:cs="Times New Roman"/>
          <w:b w:val="0"/>
          <w:bCs/>
          <w:kern w:val="0"/>
          <w:sz w:val="32"/>
          <w:szCs w:val="32"/>
          <w:lang w:val="en-US" w:eastAsia="zh-CN" w:bidi="ar-SA"/>
        </w:rPr>
        <w:t>二、</w:t>
      </w:r>
      <w:r>
        <w:rPr>
          <w:rFonts w:hint="eastAsia" w:ascii="黑体" w:hAnsi="黑体" w:eastAsia="黑体" w:cs="Times New Roman"/>
          <w:b w:val="0"/>
          <w:bCs/>
          <w:kern w:val="0"/>
          <w:sz w:val="32"/>
          <w:szCs w:val="32"/>
          <w:lang w:val="zh-CN" w:eastAsia="zh-CN" w:bidi="ar-SA"/>
        </w:rPr>
        <w:t>评价结论和绩效分析</w:t>
      </w:r>
    </w:p>
    <w:p w14:paraId="693D2F44">
      <w:pPr>
        <w:pStyle w:val="13"/>
        <w:pageBreakBefore w:val="0"/>
        <w:widowControl w:val="0"/>
        <w:numPr>
          <w:ilvl w:val="1"/>
          <w:numId w:val="0"/>
        </w:numPr>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评价结果</w:t>
      </w:r>
    </w:p>
    <w:p w14:paraId="6F669030">
      <w:pPr>
        <w:pStyle w:val="14"/>
        <w:pageBreakBefore w:val="0"/>
        <w:widowControl w:val="0"/>
        <w:kinsoku/>
        <w:wordWrap/>
        <w:overflowPunct/>
        <w:topLinePunct w:val="0"/>
        <w:autoSpaceDE/>
        <w:autoSpaceDN/>
        <w:bidi w:val="0"/>
        <w:adjustRightInd/>
        <w:snapToGrid/>
        <w:spacing w:line="580" w:lineRule="exact"/>
        <w:textAlignment w:val="auto"/>
        <w:rPr>
          <w:rFonts w:hint="default"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评价得分：</w:t>
      </w:r>
      <w:r>
        <w:rPr>
          <w:rFonts w:hint="eastAsia" w:ascii="仿宋_GB2312" w:cs="Times New Roman"/>
          <w:b w:val="0"/>
          <w:bCs w:val="0"/>
          <w:kern w:val="2"/>
          <w:sz w:val="32"/>
          <w:szCs w:val="32"/>
          <w:lang w:val="en-US" w:eastAsia="zh-CN" w:bidi="ar-SA"/>
        </w:rPr>
        <w:t>92.18</w:t>
      </w:r>
      <w:bookmarkStart w:id="4" w:name="_GoBack"/>
      <w:bookmarkEnd w:id="4"/>
    </w:p>
    <w:p w14:paraId="7BBFF2DF">
      <w:pPr>
        <w:pStyle w:val="14"/>
        <w:pageBreakBefore w:val="0"/>
        <w:widowControl w:val="0"/>
        <w:kinsoku/>
        <w:wordWrap/>
        <w:overflowPunct/>
        <w:topLinePunct w:val="0"/>
        <w:autoSpaceDE/>
        <w:autoSpaceDN/>
        <w:bidi w:val="0"/>
        <w:adjustRightInd/>
        <w:snapToGrid/>
        <w:spacing w:line="580" w:lineRule="exact"/>
        <w:textAlignment w:val="auto"/>
        <w:rPr>
          <w:rFonts w:hint="eastAsia"/>
          <w:lang w:val="en-US" w:eastAsia="zh-CN"/>
        </w:rPr>
      </w:pPr>
      <w:r>
        <w:rPr>
          <w:rFonts w:hint="eastAsia" w:ascii="仿宋_GB2312" w:hAnsi="Times New Roman" w:eastAsia="仿宋_GB2312" w:cs="Times New Roman"/>
          <w:b w:val="0"/>
          <w:bCs w:val="0"/>
          <w:kern w:val="2"/>
          <w:sz w:val="32"/>
          <w:szCs w:val="32"/>
          <w:lang w:val="en-US" w:eastAsia="zh-CN" w:bidi="ar-SA"/>
        </w:rPr>
        <w:t>绩效等级：优秀</w:t>
      </w:r>
    </w:p>
    <w:p w14:paraId="1BCCE9C6">
      <w:pPr>
        <w:bidi w:val="0"/>
        <w:ind w:firstLine="640" w:firstLineChars="200"/>
        <w:rPr>
          <w:rFonts w:hint="default"/>
          <w:lang w:val="en-US" w:eastAsia="zh-CN"/>
        </w:rPr>
      </w:pPr>
      <w:r>
        <w:rPr>
          <w:rFonts w:hint="eastAsia" w:ascii="楷体_GB2312" w:hAnsi="楷体_GB2312" w:eastAsia="楷体_GB2312" w:cs="楷体_GB2312"/>
          <w:lang w:val="en-US" w:eastAsia="zh-CN"/>
        </w:rPr>
        <w:t>（一）项目资金情况分析</w:t>
      </w:r>
    </w:p>
    <w:p w14:paraId="57360E34">
      <w:pPr>
        <w:ind w:firstLine="640"/>
        <w:rPr>
          <w:rFonts w:hint="eastAsia"/>
          <w:lang w:val="en-US" w:eastAsia="zh-CN"/>
        </w:rPr>
      </w:pPr>
      <w:r>
        <w:rPr>
          <w:rFonts w:hint="eastAsia"/>
          <w:lang w:val="en-US" w:eastAsia="zh-CN"/>
        </w:rPr>
        <w:t>1.资金到位情况</w:t>
      </w:r>
    </w:p>
    <w:p w14:paraId="69A489A4">
      <w:pPr>
        <w:numPr>
          <w:ilvl w:val="0"/>
          <w:numId w:val="0"/>
        </w:numPr>
        <w:ind w:firstLine="640"/>
        <w:jc w:val="both"/>
        <w:rPr>
          <w:rFonts w:hint="default"/>
          <w:lang w:val="en-US" w:eastAsia="zh-CN"/>
        </w:rPr>
      </w:pPr>
      <w:r>
        <w:rPr>
          <w:rFonts w:hint="eastAsia" w:ascii="仿宋_GB2312" w:hAnsi="Times New Roman" w:cs="Times New Roman"/>
          <w:b w:val="0"/>
          <w:bCs w:val="0"/>
          <w:kern w:val="2"/>
          <w:sz w:val="32"/>
          <w:szCs w:val="32"/>
          <w:lang w:val="en-US" w:eastAsia="zh-CN" w:bidi="ar-SA"/>
        </w:rPr>
        <w:t>根据甘财农</w:t>
      </w:r>
      <w:r>
        <w:rPr>
          <w:rFonts w:hint="eastAsia" w:ascii="仿宋_GB2312" w:hAnsi="Times New Roman" w:eastAsia="仿宋_GB2312" w:cs="Times New Roman"/>
          <w:b w:val="0"/>
          <w:bCs w:val="0"/>
          <w:kern w:val="2"/>
          <w:sz w:val="32"/>
          <w:szCs w:val="32"/>
          <w:lang w:val="en-US" w:eastAsia="zh-CN" w:bidi="ar-SA"/>
        </w:rPr>
        <w:t>〔202</w:t>
      </w:r>
      <w:r>
        <w:rPr>
          <w:rFonts w:hint="eastAsia" w:ascii="仿宋_GB2312" w:hAnsi="Times New Roman" w:cs="Times New Roman"/>
          <w:b w:val="0"/>
          <w:bCs w:val="0"/>
          <w:kern w:val="2"/>
          <w:sz w:val="32"/>
          <w:szCs w:val="32"/>
          <w:lang w:val="en-US" w:eastAsia="zh-CN" w:bidi="ar-SA"/>
        </w:rPr>
        <w:t>2</w:t>
      </w:r>
      <w:r>
        <w:rPr>
          <w:rFonts w:hint="eastAsia" w:ascii="仿宋_GB2312" w:hAnsi="Times New Roman" w:eastAsia="仿宋_GB2312" w:cs="Times New Roman"/>
          <w:b w:val="0"/>
          <w:bCs w:val="0"/>
          <w:kern w:val="2"/>
          <w:sz w:val="32"/>
          <w:szCs w:val="32"/>
          <w:lang w:val="en-US" w:eastAsia="zh-CN" w:bidi="ar-SA"/>
        </w:rPr>
        <w:t>〕</w:t>
      </w:r>
      <w:r>
        <w:rPr>
          <w:rFonts w:hint="eastAsia" w:ascii="仿宋_GB2312" w:hAnsi="Times New Roman" w:cs="Times New Roman"/>
          <w:b w:val="0"/>
          <w:bCs w:val="0"/>
          <w:kern w:val="2"/>
          <w:sz w:val="32"/>
          <w:szCs w:val="32"/>
          <w:lang w:val="en-US" w:eastAsia="zh-CN" w:bidi="ar-SA"/>
        </w:rPr>
        <w:t>1</w:t>
      </w:r>
      <w:r>
        <w:rPr>
          <w:rFonts w:hint="eastAsia" w:ascii="仿宋_GB2312" w:cs="Times New Roman"/>
          <w:b w:val="0"/>
          <w:bCs w:val="0"/>
          <w:kern w:val="2"/>
          <w:sz w:val="32"/>
          <w:szCs w:val="32"/>
          <w:lang w:val="en-US" w:eastAsia="zh-CN" w:bidi="ar-SA"/>
        </w:rPr>
        <w:t>11</w:t>
      </w:r>
      <w:r>
        <w:rPr>
          <w:rFonts w:hint="eastAsia" w:ascii="仿宋_GB2312" w:hAnsi="Times New Roman" w:cs="Times New Roman"/>
          <w:b w:val="0"/>
          <w:bCs w:val="0"/>
          <w:kern w:val="2"/>
          <w:sz w:val="32"/>
          <w:szCs w:val="32"/>
          <w:lang w:val="en-US" w:eastAsia="zh-CN" w:bidi="ar-SA"/>
        </w:rPr>
        <w:t>号文件下达本工程建设资金</w:t>
      </w:r>
      <w:r>
        <w:rPr>
          <w:rFonts w:hint="eastAsia" w:ascii="仿宋_GB2312" w:cs="Times New Roman"/>
          <w:b w:val="0"/>
          <w:bCs w:val="0"/>
          <w:kern w:val="2"/>
          <w:sz w:val="32"/>
          <w:szCs w:val="32"/>
          <w:lang w:val="en-US" w:eastAsia="zh-CN" w:bidi="ar-SA"/>
        </w:rPr>
        <w:t>21</w:t>
      </w:r>
      <w:r>
        <w:rPr>
          <w:rFonts w:hint="eastAsia" w:ascii="仿宋_GB2312" w:hAnsi="Times New Roman" w:cs="Times New Roman"/>
          <w:b w:val="0"/>
          <w:bCs w:val="0"/>
          <w:kern w:val="2"/>
          <w:sz w:val="32"/>
          <w:szCs w:val="32"/>
          <w:lang w:val="en-US" w:eastAsia="zh-CN" w:bidi="ar-SA"/>
        </w:rPr>
        <w:t>万元，实际资金到位</w:t>
      </w:r>
      <w:r>
        <w:rPr>
          <w:rFonts w:hint="eastAsia" w:ascii="仿宋_GB2312" w:cs="Times New Roman"/>
          <w:b w:val="0"/>
          <w:bCs w:val="0"/>
          <w:kern w:val="2"/>
          <w:sz w:val="32"/>
          <w:szCs w:val="32"/>
          <w:lang w:val="en-US" w:eastAsia="zh-CN" w:bidi="ar-SA"/>
        </w:rPr>
        <w:t>21</w:t>
      </w:r>
      <w:r>
        <w:rPr>
          <w:rFonts w:hint="eastAsia" w:ascii="仿宋_GB2312" w:hAnsi="Times New Roman" w:cs="Times New Roman"/>
          <w:b w:val="0"/>
          <w:bCs w:val="0"/>
          <w:kern w:val="2"/>
          <w:sz w:val="32"/>
          <w:szCs w:val="32"/>
          <w:lang w:val="en-US" w:eastAsia="zh-CN" w:bidi="ar-SA"/>
        </w:rPr>
        <w:t>万元，</w:t>
      </w:r>
      <w:r>
        <w:rPr>
          <w:rFonts w:hint="eastAsia" w:ascii="仿宋_GB2312" w:hAnsi="Times New Roman" w:eastAsia="仿宋_GB2312"/>
          <w:sz w:val="32"/>
          <w:szCs w:val="32"/>
          <w:lang w:val="en-US" w:eastAsia="zh-CN"/>
        </w:rPr>
        <w:t>财政资金到位率100%，资金到位及时。</w:t>
      </w:r>
    </w:p>
    <w:p w14:paraId="3037C608">
      <w:pPr>
        <w:ind w:firstLine="640"/>
        <w:rPr>
          <w:rFonts w:hint="eastAsia"/>
          <w:lang w:val="en-US" w:eastAsia="zh-CN"/>
        </w:rPr>
      </w:pPr>
      <w:r>
        <w:rPr>
          <w:rFonts w:hint="eastAsia"/>
          <w:lang w:val="en-US" w:eastAsia="zh-CN"/>
        </w:rPr>
        <w:t>2.资金完成情况</w:t>
      </w:r>
    </w:p>
    <w:p w14:paraId="1C476E71">
      <w:pPr>
        <w:ind w:firstLine="640"/>
        <w:rPr>
          <w:rFonts w:hint="default"/>
          <w:lang w:val="en-US" w:eastAsia="zh-CN"/>
        </w:rPr>
      </w:pPr>
      <w:r>
        <w:rPr>
          <w:rFonts w:hint="eastAsia"/>
          <w:lang w:val="en-US" w:eastAsia="zh-CN"/>
        </w:rPr>
        <w:t>至目前，该工程批复建设内容已全部完成。完成投资21万元，完成率100%。</w:t>
      </w:r>
    </w:p>
    <w:p w14:paraId="0BB22D96">
      <w:pPr>
        <w:ind w:firstLine="640"/>
        <w:rPr>
          <w:rFonts w:hint="eastAsia"/>
          <w:lang w:val="en-US" w:eastAsia="zh-CN"/>
        </w:rPr>
      </w:pPr>
      <w:r>
        <w:rPr>
          <w:rFonts w:hint="eastAsia"/>
          <w:lang w:val="en-US" w:eastAsia="zh-CN"/>
        </w:rPr>
        <w:t>3.资金管理情况</w:t>
      </w:r>
    </w:p>
    <w:p w14:paraId="248C4889">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sz w:val="32"/>
          <w:szCs w:val="32"/>
          <w:lang w:val="en-US" w:eastAsia="zh-CN"/>
        </w:rPr>
        <w:t>（1）</w:t>
      </w:r>
      <w:r>
        <w:rPr>
          <w:rFonts w:hint="eastAsia" w:ascii="仿宋_GB2312" w:hAnsi="Times New Roman" w:eastAsia="仿宋_GB2312"/>
          <w:sz w:val="32"/>
          <w:szCs w:val="32"/>
          <w:lang w:val="en-US" w:eastAsia="zh-CN"/>
        </w:rPr>
        <w:t>财务管理情况</w:t>
      </w:r>
    </w:p>
    <w:p w14:paraId="74093B72">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严格执行《水利发展资金使用管理办法》（财农〔2019〕54号）、《甘肃省水利发展资金管理实施细则》（甘财农〔2020〕8号）和《甘肃省水利发展资金绩效管理暂行办法》（甘财农二〔2018〕103号）等资金管理办法。按照“专户管理，专款专用，注重实效”的原则进行资金管理使用。</w:t>
      </w:r>
    </w:p>
    <w:p w14:paraId="139FC32B">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一是建立健全各项管理制度。为规范和加强专项资金的管理，保证资金安全使用，建设单位结合实际制定了《工程资金管理和工程价款结算支付管理制度》，按照《国有建设单位会计制度》的要求，设立会计帐簿，对专项资金运行的各个过程进行记录、核算、监督、管理。</w:t>
      </w:r>
    </w:p>
    <w:p w14:paraId="75594D90">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二是加强项目资金管理力度，严把资金核拨和报帐程序。专项资金的管理遵循“报帐制”原则，分项目核算。</w:t>
      </w:r>
    </w:p>
    <w:p w14:paraId="2BBDD144">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三是严格控制待摊投资的支出，科学归集单项工程的共同性费用。专项资金的管理费支出严格按照国家有关规定控制使用范围。</w:t>
      </w:r>
    </w:p>
    <w:p w14:paraId="372D17B2">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eastAsia="zh-CN"/>
        </w:rPr>
      </w:pPr>
      <w:r>
        <w:rPr>
          <w:rFonts w:hint="eastAsia" w:ascii="仿宋_GB2312" w:hAnsi="Times New Roman" w:eastAsia="仿宋_GB2312"/>
          <w:sz w:val="32"/>
          <w:szCs w:val="32"/>
          <w:lang w:val="en-US" w:eastAsia="zh-CN"/>
        </w:rPr>
        <w:t>四是严格投资概算控制，在工程建设过程中，严格根据设计图纸施工，有效控制了工程投资概算。该工程没有超出概算。</w:t>
      </w:r>
    </w:p>
    <w:p w14:paraId="2F99E81B">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（2）资金安全</w:t>
      </w:r>
    </w:p>
    <w:p w14:paraId="34121B70">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项目严格执行《甘肃省水利发展资金使用管理实施办法》等资金管理办法及规章制度，严格管理建设资金。资金支付执行国库存集中支付制度和县级财政报账制，从制度和机制上确保水利发展资金安全运行。各项目建设单位设立专户，封闭运行。按照批复的建设内容、规模和范围作用，专账核算、专款专用，严禁挤占、截留、挪用，确保了资金及时到位，促进了工程建设的顺利实施。按照合同要求，定期按实际完成的工程量，经监理部审核，项目法人审查验收，进行工程进度款结算。在工程建设过程中，严格执行合同管理制，无拖欠工程款和农民工工资的情况。</w:t>
      </w:r>
    </w:p>
    <w:p w14:paraId="66DF1656">
      <w:pPr>
        <w:bidi w:val="0"/>
        <w:ind w:firstLine="640" w:firstLineChars="200"/>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（二）项目管理情况分析</w:t>
      </w:r>
    </w:p>
    <w:p w14:paraId="2C4F9432">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1.组织实施</w:t>
      </w:r>
    </w:p>
    <w:p w14:paraId="422F5065">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w:t>
      </w:r>
      <w:r>
        <w:rPr>
          <w:rFonts w:hint="eastAsia"/>
          <w:lang w:val="en-US" w:eastAsia="zh-CN"/>
        </w:rPr>
        <w:t>临泽县小型水利建设项目2023年度山洪灾害防治设施维修养护项目</w:t>
      </w:r>
      <w:r>
        <w:rPr>
          <w:rFonts w:hint="eastAsia" w:ascii="仿宋_GB2312" w:hAnsi="Times New Roman" w:eastAsia="仿宋_GB2312"/>
          <w:sz w:val="32"/>
          <w:szCs w:val="32"/>
          <w:lang w:val="en-US" w:eastAsia="zh-CN"/>
        </w:rPr>
        <w:t>批复的绩效目标为</w:t>
      </w:r>
      <w:r>
        <w:rPr>
          <w:rFonts w:hint="eastAsia" w:ascii="仿宋_GB2312" w:hAnsi="Times New Roman"/>
          <w:sz w:val="32"/>
          <w:szCs w:val="32"/>
          <w:lang w:val="en-US" w:eastAsia="zh-CN"/>
        </w:rPr>
        <w:t>：完成</w:t>
      </w:r>
      <w:r>
        <w:rPr>
          <w:rFonts w:hint="eastAsia" w:ascii="仿宋_GB2312"/>
          <w:sz w:val="32"/>
          <w:szCs w:val="32"/>
          <w:lang w:val="en-US" w:eastAsia="zh-CN"/>
        </w:rPr>
        <w:t>临泽县山洪灾害防治设施</w:t>
      </w:r>
      <w:r>
        <w:rPr>
          <w:rFonts w:hint="eastAsia" w:ascii="仿宋_GB2312" w:hAnsi="Times New Roman"/>
          <w:sz w:val="32"/>
          <w:szCs w:val="32"/>
          <w:lang w:val="en-US" w:eastAsia="zh-CN"/>
        </w:rPr>
        <w:t>维修养护。绩效目标</w:t>
      </w:r>
      <w:r>
        <w:rPr>
          <w:rFonts w:hint="eastAsia" w:ascii="仿宋_GB2312" w:hAnsi="Times New Roman" w:eastAsia="仿宋_GB2312"/>
          <w:sz w:val="32"/>
          <w:szCs w:val="32"/>
          <w:lang w:val="en-US" w:eastAsia="zh-CN"/>
        </w:rPr>
        <w:t>未发生调整。</w:t>
      </w:r>
    </w:p>
    <w:p w14:paraId="73D3DA76">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（2）为加强</w:t>
      </w:r>
      <w:r>
        <w:rPr>
          <w:rFonts w:hint="eastAsia"/>
          <w:lang w:val="en-US" w:eastAsia="zh-CN"/>
        </w:rPr>
        <w:t>临泽县小型水利建设项目2023年度山洪灾害防治设施维修养护项目</w:t>
      </w:r>
      <w:r>
        <w:rPr>
          <w:rFonts w:hint="eastAsia" w:ascii="仿宋_GB2312" w:hAnsi="Times New Roman" w:eastAsia="仿宋_GB2312"/>
          <w:sz w:val="32"/>
          <w:szCs w:val="32"/>
          <w:lang w:val="en-US" w:eastAsia="zh-CN"/>
        </w:rPr>
        <w:t>建设与管理，</w:t>
      </w:r>
      <w:r>
        <w:rPr>
          <w:rFonts w:hint="eastAsia" w:ascii="仿宋_GB2312" w:hAnsi="Times New Roman"/>
          <w:color w:val="auto"/>
          <w:sz w:val="32"/>
          <w:szCs w:val="32"/>
          <w:lang w:val="en-US" w:eastAsia="zh-CN"/>
        </w:rPr>
        <w:t>临泽县节水型社会试点建设领导小组办公室</w:t>
      </w:r>
      <w:r>
        <w:rPr>
          <w:rFonts w:hint="eastAsia" w:ascii="仿宋_GB2312" w:hAnsi="Times New Roman" w:eastAsia="仿宋_GB2312"/>
          <w:color w:val="auto"/>
          <w:sz w:val="32"/>
          <w:szCs w:val="32"/>
          <w:lang w:val="en-US" w:eastAsia="zh-CN"/>
        </w:rPr>
        <w:t>作</w:t>
      </w:r>
      <w:r>
        <w:rPr>
          <w:rFonts w:hint="eastAsia" w:ascii="仿宋_GB2312" w:hAnsi="Times New Roman" w:eastAsia="仿宋_GB2312"/>
          <w:sz w:val="32"/>
          <w:szCs w:val="32"/>
          <w:lang w:val="en-US" w:eastAsia="zh-CN"/>
        </w:rPr>
        <w:t>为项目法人，全面负责该工程建设的日常管理工作，包括项目招投标、施工管理、资金管理、后勤与材料供应、档案管理及工程竣工验收等。本工程建设严格按照“四制”进行管理，实行合同管理。项目合同签订后，严格按照工程实施方案开展项目，做到了事前预防、事中监督、事后把关，进行质量控制。质量管理实行法人负责、施工单位保证、监理单位控制和政府部门监督相结合的质量管理体系，严格执行基本建设程序，对工程规模、效益、质量、投资进行了严格控制。</w:t>
      </w:r>
    </w:p>
    <w:p w14:paraId="783A5A36">
      <w:pPr>
        <w:bidi w:val="0"/>
        <w:ind w:firstLine="640" w:firstLineChars="200"/>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（三）产出指标完成情况分析</w:t>
      </w:r>
    </w:p>
    <w:p w14:paraId="7667CB19">
      <w:pPr>
        <w:pStyle w:val="13"/>
        <w:numPr>
          <w:ilvl w:val="1"/>
          <w:numId w:val="0"/>
        </w:numPr>
        <w:spacing w:line="240" w:lineRule="auto"/>
        <w:ind w:left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已完成指标</w:t>
      </w:r>
    </w:p>
    <w:tbl>
      <w:tblPr>
        <w:tblStyle w:val="10"/>
        <w:tblW w:w="53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9"/>
        <w:gridCol w:w="2268"/>
      </w:tblGrid>
      <w:tr w14:paraId="13B8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3079" w:type="dxa"/>
            <w:shd w:val="clear" w:color="000000" w:fill="BFBFBF"/>
          </w:tcPr>
          <w:p w14:paraId="1D9341AD">
            <w:pPr>
              <w:widowControl/>
              <w:jc w:val="center"/>
              <w:rPr>
                <w:rFonts w:ascii="仿宋" w:hAnsi="仿宋" w:eastAsia="仿宋" w:cs="宋体"/>
                <w:b/>
                <w:bCs/>
                <w:kern w:val="0"/>
                <w:sz w:val="22"/>
              </w:rPr>
            </w:pPr>
            <w:r>
              <w:rPr>
                <w:rFonts w:hint="eastAsia" w:ascii="仿宋" w:hAnsi="仿宋" w:eastAsia="仿宋" w:cs="宋体"/>
                <w:b/>
                <w:bCs/>
                <w:kern w:val="0"/>
                <w:sz w:val="22"/>
              </w:rPr>
              <w:t>指标名称</w:t>
            </w:r>
          </w:p>
        </w:tc>
        <w:tc>
          <w:tcPr>
            <w:tcW w:w="2268" w:type="dxa"/>
            <w:shd w:val="clear" w:color="000000" w:fill="BFBFBF"/>
          </w:tcPr>
          <w:p w14:paraId="4D4700DF">
            <w:pPr>
              <w:widowControl/>
              <w:jc w:val="center"/>
              <w:rPr>
                <w:rFonts w:ascii="仿宋" w:hAnsi="仿宋" w:eastAsia="仿宋" w:cs="宋体"/>
                <w:b/>
                <w:bCs/>
                <w:kern w:val="0"/>
                <w:sz w:val="22"/>
              </w:rPr>
            </w:pPr>
            <w:r>
              <w:rPr>
                <w:rFonts w:hint="eastAsia" w:ascii="仿宋" w:hAnsi="仿宋" w:eastAsia="仿宋" w:cs="宋体"/>
                <w:b/>
                <w:bCs/>
                <w:kern w:val="0"/>
                <w:sz w:val="22"/>
              </w:rPr>
              <w:t>实际值</w:t>
            </w:r>
          </w:p>
        </w:tc>
      </w:tr>
      <w:tr w14:paraId="14FE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7D75C450">
            <w:pPr>
              <w:widowControl/>
              <w:jc w:val="left"/>
              <w:rPr>
                <w:rFonts w:ascii="宋体" w:hAnsi="宋体" w:cs="宋体"/>
                <w:kern w:val="0"/>
                <w:sz w:val="22"/>
              </w:rPr>
            </w:pPr>
            <w:r>
              <w:rPr>
                <w:rFonts w:hint="eastAsia" w:ascii="宋体" w:hAnsi="宋体" w:cs="宋体"/>
                <w:kern w:val="0"/>
                <w:sz w:val="22"/>
              </w:rPr>
              <w:t>年度预算控制率</w:t>
            </w:r>
          </w:p>
        </w:tc>
        <w:tc>
          <w:tcPr>
            <w:tcW w:w="2268" w:type="dxa"/>
            <w:vAlign w:val="center"/>
          </w:tcPr>
          <w:p w14:paraId="3D32ED3D">
            <w:pPr>
              <w:widowControl/>
              <w:jc w:val="center"/>
              <w:rPr>
                <w:rFonts w:ascii="宋体" w:hAnsi="宋体" w:cs="宋体"/>
                <w:kern w:val="0"/>
                <w:sz w:val="22"/>
              </w:rPr>
            </w:pPr>
            <w:r>
              <w:rPr>
                <w:rFonts w:hint="eastAsia" w:ascii="宋体" w:hAnsi="宋体" w:cs="宋体"/>
                <w:kern w:val="0"/>
                <w:sz w:val="22"/>
              </w:rPr>
              <w:t>100.00%</w:t>
            </w:r>
          </w:p>
        </w:tc>
      </w:tr>
      <w:tr w14:paraId="0FC71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2AF44B55">
            <w:pPr>
              <w:widowControl/>
              <w:jc w:val="left"/>
              <w:rPr>
                <w:rFonts w:ascii="宋体" w:hAnsi="宋体" w:cs="宋体"/>
                <w:kern w:val="0"/>
                <w:sz w:val="22"/>
              </w:rPr>
            </w:pPr>
            <w:r>
              <w:rPr>
                <w:rFonts w:hint="eastAsia" w:ascii="宋体" w:hAnsi="宋体" w:cs="宋体"/>
                <w:kern w:val="0"/>
                <w:sz w:val="22"/>
              </w:rPr>
              <w:t>实施山洪灾害防治县数量（个）</w:t>
            </w:r>
          </w:p>
        </w:tc>
        <w:tc>
          <w:tcPr>
            <w:tcW w:w="2268" w:type="dxa"/>
            <w:vAlign w:val="center"/>
          </w:tcPr>
          <w:p w14:paraId="40AC3710">
            <w:pPr>
              <w:widowControl/>
              <w:jc w:val="center"/>
              <w:rPr>
                <w:rFonts w:ascii="宋体" w:hAnsi="宋体" w:cs="宋体"/>
                <w:kern w:val="0"/>
                <w:sz w:val="22"/>
              </w:rPr>
            </w:pPr>
            <w:r>
              <w:rPr>
                <w:rFonts w:hint="eastAsia" w:ascii="宋体" w:hAnsi="宋体" w:cs="宋体"/>
                <w:kern w:val="0"/>
                <w:sz w:val="22"/>
              </w:rPr>
              <w:t>100.00%</w:t>
            </w:r>
          </w:p>
        </w:tc>
      </w:tr>
      <w:tr w14:paraId="7F3F0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1D02ACFF">
            <w:pPr>
              <w:widowControl/>
              <w:jc w:val="left"/>
              <w:rPr>
                <w:rFonts w:ascii="宋体" w:hAnsi="宋体" w:cs="宋体"/>
                <w:kern w:val="0"/>
                <w:sz w:val="22"/>
              </w:rPr>
            </w:pPr>
            <w:r>
              <w:rPr>
                <w:rFonts w:hint="eastAsia" w:ascii="宋体" w:hAnsi="宋体" w:cs="宋体"/>
                <w:kern w:val="0"/>
                <w:sz w:val="22"/>
              </w:rPr>
              <w:t>截止2024年6月底，完工项目初步验收率（%）</w:t>
            </w:r>
          </w:p>
        </w:tc>
        <w:tc>
          <w:tcPr>
            <w:tcW w:w="2268" w:type="dxa"/>
            <w:vAlign w:val="center"/>
          </w:tcPr>
          <w:p w14:paraId="50F421B7">
            <w:pPr>
              <w:widowControl/>
              <w:jc w:val="center"/>
              <w:rPr>
                <w:rFonts w:ascii="宋体" w:hAnsi="宋体" w:cs="宋体"/>
                <w:kern w:val="0"/>
                <w:sz w:val="22"/>
              </w:rPr>
            </w:pPr>
            <w:r>
              <w:rPr>
                <w:rFonts w:hint="eastAsia" w:ascii="宋体" w:hAnsi="宋体" w:cs="宋体"/>
                <w:kern w:val="0"/>
                <w:sz w:val="22"/>
              </w:rPr>
              <w:t>100.00%</w:t>
            </w:r>
          </w:p>
        </w:tc>
      </w:tr>
      <w:tr w14:paraId="779AE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35B0537F">
            <w:pPr>
              <w:widowControl/>
              <w:jc w:val="left"/>
              <w:rPr>
                <w:rFonts w:ascii="宋体" w:hAnsi="宋体" w:cs="宋体"/>
                <w:kern w:val="0"/>
                <w:sz w:val="22"/>
              </w:rPr>
            </w:pPr>
            <w:r>
              <w:rPr>
                <w:rFonts w:hint="eastAsia" w:ascii="宋体" w:hAnsi="宋体" w:cs="宋体"/>
                <w:kern w:val="0"/>
                <w:sz w:val="22"/>
              </w:rPr>
              <w:t>工程验收合格率（%）</w:t>
            </w:r>
          </w:p>
        </w:tc>
        <w:tc>
          <w:tcPr>
            <w:tcW w:w="2268" w:type="dxa"/>
            <w:vAlign w:val="center"/>
          </w:tcPr>
          <w:p w14:paraId="203E07A6">
            <w:pPr>
              <w:widowControl/>
              <w:jc w:val="center"/>
              <w:rPr>
                <w:rFonts w:ascii="宋体" w:hAnsi="宋体" w:cs="宋体"/>
                <w:kern w:val="0"/>
                <w:sz w:val="22"/>
              </w:rPr>
            </w:pPr>
            <w:r>
              <w:rPr>
                <w:rFonts w:hint="eastAsia" w:ascii="宋体" w:hAnsi="宋体" w:cs="宋体"/>
                <w:kern w:val="0"/>
                <w:sz w:val="22"/>
              </w:rPr>
              <w:t>100.00%</w:t>
            </w:r>
          </w:p>
        </w:tc>
      </w:tr>
      <w:tr w14:paraId="189B5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0F2C43C0">
            <w:pPr>
              <w:widowControl/>
              <w:jc w:val="left"/>
              <w:rPr>
                <w:rFonts w:ascii="宋体" w:hAnsi="宋体" w:cs="宋体"/>
                <w:kern w:val="0"/>
                <w:sz w:val="22"/>
              </w:rPr>
            </w:pPr>
            <w:r>
              <w:rPr>
                <w:rFonts w:hint="eastAsia" w:ascii="宋体" w:hAnsi="宋体" w:cs="宋体"/>
                <w:kern w:val="0"/>
                <w:sz w:val="22"/>
              </w:rPr>
              <w:t>促进社会稳定发展程度</w:t>
            </w:r>
          </w:p>
        </w:tc>
        <w:tc>
          <w:tcPr>
            <w:tcW w:w="2268" w:type="dxa"/>
            <w:vAlign w:val="center"/>
          </w:tcPr>
          <w:p w14:paraId="13B1860C">
            <w:pPr>
              <w:widowControl/>
              <w:jc w:val="center"/>
              <w:rPr>
                <w:rFonts w:ascii="宋体" w:hAnsi="宋体" w:cs="宋体"/>
                <w:kern w:val="0"/>
                <w:sz w:val="22"/>
              </w:rPr>
            </w:pPr>
            <w:r>
              <w:rPr>
                <w:rFonts w:hint="eastAsia" w:ascii="宋体" w:hAnsi="宋体" w:cs="宋体"/>
                <w:kern w:val="0"/>
                <w:sz w:val="22"/>
              </w:rPr>
              <w:t>100%</w:t>
            </w:r>
          </w:p>
        </w:tc>
      </w:tr>
      <w:tr w14:paraId="02F5B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0FFA93DF">
            <w:pPr>
              <w:widowControl/>
              <w:jc w:val="left"/>
              <w:rPr>
                <w:rFonts w:ascii="宋体" w:hAnsi="宋体" w:cs="宋体"/>
                <w:kern w:val="0"/>
                <w:sz w:val="22"/>
              </w:rPr>
            </w:pPr>
            <w:r>
              <w:rPr>
                <w:rFonts w:hint="eastAsia" w:ascii="宋体" w:hAnsi="宋体" w:cs="宋体"/>
                <w:kern w:val="0"/>
                <w:sz w:val="22"/>
              </w:rPr>
              <w:t>已建工程是否存在质量问题</w:t>
            </w:r>
          </w:p>
        </w:tc>
        <w:tc>
          <w:tcPr>
            <w:tcW w:w="2268" w:type="dxa"/>
            <w:vAlign w:val="center"/>
          </w:tcPr>
          <w:p w14:paraId="1F13D6C7">
            <w:pPr>
              <w:widowControl/>
              <w:jc w:val="center"/>
              <w:rPr>
                <w:rFonts w:ascii="宋体" w:hAnsi="宋体" w:cs="宋体"/>
                <w:kern w:val="0"/>
                <w:sz w:val="22"/>
              </w:rPr>
            </w:pPr>
            <w:r>
              <w:rPr>
                <w:rFonts w:hint="eastAsia" w:ascii="宋体" w:hAnsi="宋体" w:cs="宋体"/>
                <w:kern w:val="0"/>
                <w:sz w:val="22"/>
              </w:rPr>
              <w:t>100%</w:t>
            </w:r>
          </w:p>
        </w:tc>
      </w:tr>
    </w:tbl>
    <w:p w14:paraId="6C2C7145">
      <w:pPr>
        <w:pStyle w:val="16"/>
        <w:ind w:firstLine="739" w:firstLineChars="231"/>
        <w:jc w:val="both"/>
        <w:rPr>
          <w:rFonts w:hint="eastAsia" w:ascii="仿宋_GB2312" w:hAnsi="Times New Roman"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t>未完成指标</w:t>
      </w:r>
    </w:p>
    <w:tbl>
      <w:tblPr>
        <w:tblStyle w:val="10"/>
        <w:tblW w:w="8506" w:type="dxa"/>
        <w:tblInd w:w="-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2268"/>
        <w:gridCol w:w="3119"/>
      </w:tblGrid>
      <w:tr w14:paraId="2CED7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119" w:type="dxa"/>
            <w:shd w:val="clear" w:color="000000" w:fill="BFBFBF"/>
            <w:vAlign w:val="center"/>
          </w:tcPr>
          <w:p w14:paraId="1361BAFC">
            <w:pPr>
              <w:widowControl/>
              <w:jc w:val="left"/>
              <w:rPr>
                <w:rFonts w:ascii="仿宋" w:hAnsi="仿宋" w:eastAsia="仿宋" w:cs="宋体"/>
                <w:b/>
                <w:bCs/>
                <w:kern w:val="0"/>
                <w:sz w:val="22"/>
              </w:rPr>
            </w:pPr>
            <w:r>
              <w:rPr>
                <w:rFonts w:hint="eastAsia" w:ascii="仿宋" w:hAnsi="仿宋" w:eastAsia="仿宋" w:cs="宋体"/>
                <w:b/>
                <w:bCs/>
                <w:kern w:val="0"/>
                <w:sz w:val="22"/>
              </w:rPr>
              <w:t>指标名称</w:t>
            </w:r>
          </w:p>
        </w:tc>
        <w:tc>
          <w:tcPr>
            <w:tcW w:w="2268" w:type="dxa"/>
            <w:shd w:val="clear" w:color="000000" w:fill="BFBFBF"/>
          </w:tcPr>
          <w:p w14:paraId="1989A6DC">
            <w:pPr>
              <w:widowControl/>
              <w:jc w:val="center"/>
              <w:rPr>
                <w:rFonts w:ascii="仿宋" w:hAnsi="仿宋" w:eastAsia="仿宋" w:cs="宋体"/>
                <w:b/>
                <w:bCs/>
                <w:kern w:val="0"/>
                <w:sz w:val="22"/>
              </w:rPr>
            </w:pPr>
            <w:r>
              <w:rPr>
                <w:rFonts w:hint="eastAsia" w:ascii="仿宋" w:hAnsi="仿宋" w:eastAsia="仿宋" w:cs="宋体"/>
                <w:b/>
                <w:bCs/>
                <w:kern w:val="0"/>
                <w:sz w:val="22"/>
              </w:rPr>
              <w:t>实际值</w:t>
            </w:r>
          </w:p>
        </w:tc>
        <w:tc>
          <w:tcPr>
            <w:tcW w:w="3119" w:type="dxa"/>
            <w:shd w:val="clear" w:color="000000" w:fill="BFBFBF"/>
          </w:tcPr>
          <w:p w14:paraId="048F4CCA">
            <w:pPr>
              <w:widowControl/>
              <w:jc w:val="center"/>
              <w:rPr>
                <w:rFonts w:ascii="仿宋" w:hAnsi="仿宋" w:eastAsia="仿宋" w:cs="宋体"/>
                <w:b/>
                <w:bCs/>
                <w:kern w:val="0"/>
                <w:sz w:val="22"/>
              </w:rPr>
            </w:pPr>
            <w:r>
              <w:rPr>
                <w:rFonts w:hint="eastAsia" w:ascii="仿宋" w:hAnsi="仿宋" w:eastAsia="仿宋" w:cs="宋体"/>
                <w:b/>
                <w:bCs/>
                <w:kern w:val="0"/>
                <w:sz w:val="22"/>
              </w:rPr>
              <w:t>偏差率</w:t>
            </w:r>
          </w:p>
        </w:tc>
      </w:tr>
      <w:tr w14:paraId="37201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119" w:type="dxa"/>
            <w:shd w:val="clear" w:color="auto" w:fill="auto"/>
            <w:vAlign w:val="center"/>
          </w:tcPr>
          <w:p w14:paraId="1A82B5F7">
            <w:pPr>
              <w:widowControl/>
              <w:jc w:val="left"/>
              <w:rPr>
                <w:rFonts w:ascii="宋体" w:hAnsi="宋体" w:cs="宋体"/>
                <w:kern w:val="0"/>
                <w:sz w:val="22"/>
              </w:rPr>
            </w:pPr>
            <w:r>
              <w:rPr>
                <w:rFonts w:hint="eastAsia" w:ascii="宋体" w:hAnsi="宋体" w:cs="宋体"/>
                <w:kern w:val="0"/>
                <w:sz w:val="22"/>
              </w:rPr>
              <w:t>受益群众满意度（%）</w:t>
            </w:r>
          </w:p>
        </w:tc>
        <w:tc>
          <w:tcPr>
            <w:tcW w:w="2268" w:type="dxa"/>
            <w:vAlign w:val="center"/>
          </w:tcPr>
          <w:p w14:paraId="260AD8DA">
            <w:pPr>
              <w:widowControl/>
              <w:jc w:val="center"/>
              <w:rPr>
                <w:rFonts w:ascii="宋体" w:hAnsi="宋体" w:cs="宋体"/>
                <w:kern w:val="0"/>
                <w:sz w:val="22"/>
              </w:rPr>
            </w:pPr>
            <w:r>
              <w:rPr>
                <w:rFonts w:hint="eastAsia" w:ascii="宋体" w:hAnsi="宋体" w:cs="宋体"/>
                <w:kern w:val="0"/>
                <w:sz w:val="22"/>
              </w:rPr>
              <w:t>106.67%</w:t>
            </w:r>
          </w:p>
        </w:tc>
        <w:tc>
          <w:tcPr>
            <w:tcW w:w="3119" w:type="dxa"/>
            <w:vAlign w:val="center"/>
          </w:tcPr>
          <w:p w14:paraId="7438220F">
            <w:pPr>
              <w:widowControl/>
              <w:jc w:val="center"/>
              <w:rPr>
                <w:rFonts w:ascii="宋体" w:hAnsi="宋体" w:cs="宋体"/>
                <w:kern w:val="0"/>
                <w:sz w:val="22"/>
              </w:rPr>
            </w:pPr>
            <w:r>
              <w:rPr>
                <w:rFonts w:hint="eastAsia" w:ascii="宋体" w:hAnsi="宋体" w:cs="宋体"/>
                <w:kern w:val="0"/>
                <w:sz w:val="22"/>
              </w:rPr>
              <w:t>-6.67%</w:t>
            </w:r>
          </w:p>
        </w:tc>
      </w:tr>
    </w:tbl>
    <w:p w14:paraId="1F4A0E5D">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1.项目数量指标</w:t>
      </w:r>
    </w:p>
    <w:p w14:paraId="02FD19A7">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临泽县小型水利建设项目2023年度山洪灾害防治设施维修养护工程已完成危险区动态管理清单建立一份，新建自动雨量站8处，维修改造无线预警广播3处，维修改造自动雨量站6处，完成完善群策群防体。</w:t>
      </w:r>
    </w:p>
    <w:p w14:paraId="37808A8C">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2.项目成本指标</w:t>
      </w:r>
    </w:p>
    <w:p w14:paraId="5A4917DB">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项目严格按照批复的实施方案和初步设计进行工程建设，在实施中由监理对工程的进度、质量和投资进行控制，所有项目均无超出成本现象。各项目单价均控制在批复概算单价内。</w:t>
      </w:r>
    </w:p>
    <w:p w14:paraId="2877ADC7">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楷体" w:hAnsi="楷体" w:eastAsia="楷体" w:cs="Times New Roman"/>
          <w:b w:val="0"/>
          <w:bCs w:val="0"/>
          <w:color w:val="auto"/>
          <w:sz w:val="32"/>
        </w:rPr>
      </w:pPr>
      <w:r>
        <w:rPr>
          <w:rFonts w:hint="eastAsia" w:ascii="楷体" w:hAnsi="楷体" w:eastAsia="楷体" w:cs="Times New Roman"/>
          <w:b w:val="0"/>
          <w:bCs w:val="0"/>
          <w:color w:val="auto"/>
          <w:sz w:val="32"/>
        </w:rPr>
        <w:t>（四）效益指标完成情况分析</w:t>
      </w:r>
    </w:p>
    <w:p w14:paraId="18064709">
      <w:pPr>
        <w:pageBreakBefore w:val="0"/>
        <w:widowControl/>
        <w:kinsoku/>
        <w:wordWrap/>
        <w:overflowPunct/>
        <w:topLinePunct w:val="0"/>
        <w:autoSpaceDE/>
        <w:autoSpaceDN/>
        <w:bidi w:val="0"/>
        <w:adjustRightInd/>
        <w:snapToGrid/>
        <w:spacing w:line="560" w:lineRule="exact"/>
        <w:ind w:firstLine="640"/>
        <w:textAlignment w:val="auto"/>
        <w:rPr>
          <w:rFonts w:hint="eastAsia" w:ascii="仿宋_GB2312"/>
          <w:sz w:val="32"/>
          <w:szCs w:val="32"/>
        </w:rPr>
      </w:pPr>
      <w:r>
        <w:rPr>
          <w:rFonts w:hint="eastAsia" w:ascii="仿宋_GB2312"/>
          <w:sz w:val="32"/>
          <w:szCs w:val="32"/>
        </w:rPr>
        <w:t>1.项目实施的经济效益分析</w:t>
      </w:r>
    </w:p>
    <w:p w14:paraId="6807C9B0">
      <w:pPr>
        <w:pStyle w:val="7"/>
        <w:pageBreakBefore w:val="0"/>
        <w:kinsoku/>
        <w:wordWrap/>
        <w:overflowPunct/>
        <w:topLinePunct w:val="0"/>
        <w:autoSpaceDE/>
        <w:autoSpaceDN/>
        <w:bidi w:val="0"/>
        <w:adjustRightInd/>
        <w:snapToGrid/>
        <w:spacing w:after="0" w:afterLines="0" w:line="560" w:lineRule="exact"/>
        <w:textAlignment w:val="auto"/>
        <w:rPr>
          <w:rFonts w:hint="eastAsia" w:ascii="仿宋_GB2312" w:hAnsi="Times New Roman" w:eastAsia="仿宋_GB2312" w:cstheme="minorBidi"/>
          <w:kern w:val="2"/>
          <w:sz w:val="32"/>
          <w:szCs w:val="32"/>
          <w:lang w:val="en-US" w:eastAsia="zh-CN" w:bidi="ar-SA"/>
        </w:rPr>
      </w:pPr>
      <w:r>
        <w:rPr>
          <w:rFonts w:hint="eastAsia" w:ascii="仿宋_GB2312" w:hAnsi="Times New Roman" w:eastAsia="仿宋_GB2312" w:cstheme="minorBidi"/>
          <w:kern w:val="2"/>
          <w:sz w:val="32"/>
          <w:szCs w:val="32"/>
          <w:lang w:val="en-US" w:eastAsia="zh-CN" w:bidi="ar-SA"/>
        </w:rPr>
        <w:t>通过采取山洪灾害综合防治措施，着力提高山洪灾害防御的支撑和保障能力，进一步完善我县防洪排涝和抗旱减灾体系，有效减低山洪灾害造成的损失。减免的经济损失主要包括:直接减少人员伤亡、减少的农、牧损失、各类基础设施损失、城镇和农村居民财产损失以及其他经济损失等。</w:t>
      </w:r>
    </w:p>
    <w:p w14:paraId="0F5C55F4">
      <w:pPr>
        <w:pageBreakBefore w:val="0"/>
        <w:widowControl/>
        <w:kinsoku/>
        <w:wordWrap/>
        <w:overflowPunct/>
        <w:topLinePunct w:val="0"/>
        <w:autoSpaceDE/>
        <w:autoSpaceDN/>
        <w:bidi w:val="0"/>
        <w:adjustRightInd/>
        <w:snapToGrid/>
        <w:spacing w:line="560" w:lineRule="exact"/>
        <w:ind w:firstLine="640"/>
        <w:textAlignment w:val="auto"/>
        <w:rPr>
          <w:rFonts w:hint="eastAsia" w:ascii="仿宋_GB2312"/>
          <w:sz w:val="32"/>
          <w:szCs w:val="32"/>
        </w:rPr>
      </w:pPr>
      <w:r>
        <w:rPr>
          <w:rFonts w:hint="eastAsia" w:ascii="仿宋_GB2312"/>
          <w:sz w:val="32"/>
          <w:szCs w:val="32"/>
        </w:rPr>
        <w:t>2.项目实施的社会效益分析</w:t>
      </w:r>
    </w:p>
    <w:p w14:paraId="157C6EB3">
      <w:pPr>
        <w:pageBreakBefore w:val="0"/>
        <w:widowControl/>
        <w:kinsoku/>
        <w:wordWrap/>
        <w:overflowPunct/>
        <w:topLinePunct w:val="0"/>
        <w:autoSpaceDE/>
        <w:autoSpaceDN/>
        <w:bidi w:val="0"/>
        <w:adjustRightInd/>
        <w:snapToGrid/>
        <w:spacing w:line="560" w:lineRule="exact"/>
        <w:ind w:firstLine="640"/>
        <w:textAlignment w:val="auto"/>
        <w:rPr>
          <w:rFonts w:hint="eastAsia" w:ascii="仿宋_GB2312"/>
          <w:sz w:val="32"/>
          <w:szCs w:val="32"/>
        </w:rPr>
      </w:pPr>
      <w:r>
        <w:rPr>
          <w:rFonts w:hint="eastAsia" w:ascii="仿宋_GB2312"/>
          <w:sz w:val="32"/>
          <w:szCs w:val="32"/>
        </w:rPr>
        <w:t>202</w:t>
      </w:r>
      <w:r>
        <w:rPr>
          <w:rFonts w:hint="eastAsia" w:ascii="仿宋_GB2312"/>
          <w:sz w:val="32"/>
          <w:szCs w:val="32"/>
          <w:lang w:val="en-US" w:eastAsia="zh-CN"/>
        </w:rPr>
        <w:t>2</w:t>
      </w:r>
      <w:r>
        <w:rPr>
          <w:rFonts w:hint="eastAsia" w:ascii="仿宋_GB2312"/>
          <w:sz w:val="32"/>
          <w:szCs w:val="32"/>
        </w:rPr>
        <w:t>年山洪灾害防治</w:t>
      </w:r>
      <w:r>
        <w:rPr>
          <w:rFonts w:hint="eastAsia" w:ascii="仿宋_GB2312"/>
          <w:sz w:val="32"/>
          <w:szCs w:val="32"/>
          <w:lang w:val="en-US" w:eastAsia="zh-CN"/>
        </w:rPr>
        <w:t>设施维修养护</w:t>
      </w:r>
      <w:r>
        <w:rPr>
          <w:rFonts w:hint="eastAsia" w:ascii="仿宋_GB2312"/>
          <w:sz w:val="32"/>
          <w:szCs w:val="32"/>
        </w:rPr>
        <w:t>项目持续开展的群策群防体系建设，使群众充分了解了山洪灾害知识防范措施与方法，使危险区内群众能够及时规避风险，避免或减少山洪灾害导致的人员伤亡和财产损失，而且为有效防御山洪灾害实施指挥决策和调度以及抢险救灾提供有效保障。</w:t>
      </w:r>
    </w:p>
    <w:p w14:paraId="2B4A964E">
      <w:pPr>
        <w:pageBreakBefore w:val="0"/>
        <w:widowControl/>
        <w:kinsoku/>
        <w:wordWrap/>
        <w:overflowPunct/>
        <w:topLinePunct w:val="0"/>
        <w:autoSpaceDE/>
        <w:autoSpaceDN/>
        <w:bidi w:val="0"/>
        <w:adjustRightInd/>
        <w:snapToGrid/>
        <w:spacing w:line="560" w:lineRule="exact"/>
        <w:ind w:firstLine="640"/>
        <w:textAlignment w:val="auto"/>
        <w:rPr>
          <w:rFonts w:hint="eastAsia" w:ascii="仿宋_GB2312"/>
          <w:sz w:val="32"/>
          <w:szCs w:val="32"/>
        </w:rPr>
      </w:pPr>
      <w:r>
        <w:rPr>
          <w:rFonts w:hint="eastAsia" w:ascii="仿宋_GB2312"/>
          <w:sz w:val="32"/>
          <w:szCs w:val="32"/>
        </w:rPr>
        <w:t>通过山洪灾害防治非工程措施项目的建设，在相应防治区建立山洪灾害监测预警等设备，实现了对暴雨、山洪的及时有效监测，解决了基层山洪灾害防御监测手段设施缺乏的问题，可以提前预见山洪灾害的发生，缩短了山区雨水情传输时间，有效的提高了基层山洪灾害防御能力，为做好人员转移，有效躲避灾害，最大限度避免或减少人员伤亡提供了宝贵的时间。202</w:t>
      </w:r>
      <w:r>
        <w:rPr>
          <w:rFonts w:hint="eastAsia" w:ascii="仿宋_GB2312"/>
          <w:sz w:val="32"/>
          <w:szCs w:val="32"/>
          <w:lang w:val="en-US" w:eastAsia="zh-CN"/>
        </w:rPr>
        <w:t>2</w:t>
      </w:r>
      <w:r>
        <w:rPr>
          <w:rFonts w:hint="eastAsia" w:ascii="仿宋_GB2312"/>
          <w:sz w:val="32"/>
          <w:szCs w:val="32"/>
        </w:rPr>
        <w:t>年在防治区开展山洪灾害监测系统改造升级、预警系统改造升级和群测群防体系建设，面向基层的山洪灾害防灾减灾宣传、培训、演练工作持续开展，显著增强了基层干部群众主动防灾避险意识，提高了自防自救和互救能力。并结合山洪沟道治理，</w:t>
      </w:r>
      <w:r>
        <w:rPr>
          <w:rFonts w:hint="eastAsia" w:ascii="仿宋_GB2312"/>
          <w:sz w:val="32"/>
          <w:szCs w:val="32"/>
          <w:lang w:val="en-US" w:eastAsia="zh-CN"/>
        </w:rPr>
        <w:t>与</w:t>
      </w:r>
      <w:r>
        <w:rPr>
          <w:rFonts w:hint="eastAsia" w:ascii="仿宋_GB2312"/>
          <w:sz w:val="32"/>
          <w:szCs w:val="32"/>
        </w:rPr>
        <w:t>工程措施相结合形成综合防御体系，最大限度地减少了人员伤亡和财产损失，为构建和谐社会、促进社会经济环境协调发展提供安全保障。</w:t>
      </w:r>
    </w:p>
    <w:p w14:paraId="61FCDB9F">
      <w:pPr>
        <w:pageBreakBefore w:val="0"/>
        <w:widowControl/>
        <w:kinsoku/>
        <w:wordWrap/>
        <w:overflowPunct/>
        <w:topLinePunct w:val="0"/>
        <w:autoSpaceDE/>
        <w:autoSpaceDN/>
        <w:bidi w:val="0"/>
        <w:adjustRightInd/>
        <w:snapToGrid/>
        <w:spacing w:line="560" w:lineRule="exact"/>
        <w:ind w:firstLine="640"/>
        <w:textAlignment w:val="auto"/>
        <w:rPr>
          <w:rFonts w:hint="eastAsia" w:ascii="仿宋_GB2312"/>
          <w:sz w:val="32"/>
          <w:szCs w:val="32"/>
        </w:rPr>
      </w:pPr>
      <w:r>
        <w:rPr>
          <w:rFonts w:hint="eastAsia" w:ascii="仿宋_GB2312"/>
          <w:sz w:val="32"/>
          <w:szCs w:val="32"/>
        </w:rPr>
        <w:t>3.项目实施的生态效益分析</w:t>
      </w:r>
    </w:p>
    <w:p w14:paraId="0802029A">
      <w:pPr>
        <w:pageBreakBefore w:val="0"/>
        <w:kinsoku/>
        <w:wordWrap/>
        <w:overflowPunct/>
        <w:topLinePunct w:val="0"/>
        <w:autoSpaceDE/>
        <w:autoSpaceDN/>
        <w:bidi w:val="0"/>
        <w:adjustRightInd/>
        <w:snapToGrid/>
        <w:spacing w:line="560" w:lineRule="exact"/>
        <w:ind w:firstLine="640"/>
        <w:textAlignment w:val="auto"/>
        <w:rPr>
          <w:rFonts w:hint="eastAsia" w:ascii="仿宋_GB2312"/>
          <w:sz w:val="32"/>
          <w:szCs w:val="32"/>
        </w:rPr>
      </w:pPr>
      <w:r>
        <w:rPr>
          <w:rFonts w:hint="eastAsia" w:ascii="仿宋_GB2312"/>
          <w:sz w:val="32"/>
          <w:szCs w:val="32"/>
        </w:rPr>
        <w:t>通过实施山洪灾害防治项目，可以减免山洪灾害对生态环境的破坏。山洪灾害防治的环境效益主要体现在减少水土流失，保护</w:t>
      </w:r>
      <w:r>
        <w:rPr>
          <w:rFonts w:hint="eastAsia" w:ascii="仿宋_GB2312"/>
          <w:sz w:val="32"/>
          <w:szCs w:val="32"/>
          <w:lang w:val="en-US" w:eastAsia="zh-CN"/>
        </w:rPr>
        <w:t>水</w:t>
      </w:r>
      <w:r>
        <w:rPr>
          <w:rFonts w:hint="eastAsia" w:ascii="仿宋_GB2312"/>
          <w:sz w:val="32"/>
          <w:szCs w:val="32"/>
        </w:rPr>
        <w:t>土资源，保护植被、水质和自然景观，改善人居环境等方面。</w:t>
      </w:r>
    </w:p>
    <w:p w14:paraId="7B7FB10F">
      <w:pPr>
        <w:pStyle w:val="3"/>
        <w:pageBreakBefore w:val="0"/>
        <w:widowControl/>
        <w:numPr>
          <w:ilvl w:val="1"/>
          <w:numId w:val="0"/>
        </w:numPr>
        <w:kinsoku/>
        <w:wordWrap/>
        <w:overflowPunct/>
        <w:topLinePunct w:val="0"/>
        <w:autoSpaceDE/>
        <w:autoSpaceDN/>
        <w:bidi w:val="0"/>
        <w:adjustRightInd/>
        <w:snapToGrid/>
        <w:spacing w:line="560" w:lineRule="exact"/>
        <w:ind w:firstLine="640" w:firstLineChars="200"/>
        <w:textAlignment w:val="auto"/>
        <w:rPr>
          <w:rFonts w:ascii="楷体" w:hAnsi="楷体" w:eastAsia="楷体" w:cs="Times New Roman"/>
          <w:bCs w:val="0"/>
          <w:color w:val="auto"/>
          <w:sz w:val="32"/>
          <w:szCs w:val="32"/>
        </w:rPr>
      </w:pPr>
      <w:r>
        <w:rPr>
          <w:rFonts w:hint="eastAsia" w:ascii="楷体" w:hAnsi="楷体" w:eastAsia="楷体" w:cs="Times New Roman"/>
          <w:bCs w:val="0"/>
          <w:color w:val="auto"/>
          <w:sz w:val="32"/>
          <w:szCs w:val="32"/>
        </w:rPr>
        <w:t>（五）满意度指标完成情况分析</w:t>
      </w:r>
    </w:p>
    <w:p w14:paraId="5A2FF585">
      <w:pPr>
        <w:pageBreakBefore w:val="0"/>
        <w:widowControl/>
        <w:kinsoku/>
        <w:wordWrap/>
        <w:overflowPunct/>
        <w:topLinePunct w:val="0"/>
        <w:autoSpaceDE/>
        <w:autoSpaceDN/>
        <w:bidi w:val="0"/>
        <w:adjustRightInd/>
        <w:snapToGrid/>
        <w:spacing w:line="560" w:lineRule="exact"/>
        <w:ind w:firstLine="640"/>
        <w:textAlignment w:val="auto"/>
        <w:rPr>
          <w:rFonts w:hint="eastAsia" w:ascii="仿宋_GB2312"/>
          <w:color w:val="auto"/>
          <w:sz w:val="32"/>
          <w:szCs w:val="32"/>
        </w:rPr>
      </w:pPr>
      <w:r>
        <w:rPr>
          <w:rFonts w:hint="eastAsia" w:ascii="仿宋_GB2312" w:hAnsi="Times New Roman" w:eastAsia="仿宋_GB2312"/>
          <w:sz w:val="32"/>
          <w:szCs w:val="32"/>
          <w:lang w:val="en-US" w:eastAsia="zh-CN"/>
        </w:rPr>
        <w:t>临泽县小型水利建设项目2023年度山洪灾害防治设施维修养护工程</w:t>
      </w:r>
      <w:r>
        <w:rPr>
          <w:rFonts w:hint="eastAsia" w:ascii="仿宋_GB2312"/>
          <w:color w:val="auto"/>
          <w:sz w:val="32"/>
          <w:szCs w:val="32"/>
        </w:rPr>
        <w:t>发放调查问卷</w:t>
      </w:r>
      <w:r>
        <w:rPr>
          <w:rFonts w:hint="eastAsia" w:ascii="仿宋_GB2312"/>
          <w:color w:val="auto"/>
          <w:sz w:val="32"/>
          <w:szCs w:val="32"/>
          <w:lang w:val="en-US" w:eastAsia="zh-CN"/>
        </w:rPr>
        <w:t>30</w:t>
      </w:r>
      <w:r>
        <w:rPr>
          <w:rFonts w:hint="eastAsia" w:ascii="仿宋_GB2312"/>
          <w:color w:val="auto"/>
          <w:sz w:val="32"/>
          <w:szCs w:val="32"/>
        </w:rPr>
        <w:t>份，群众满意度100%。</w:t>
      </w:r>
    </w:p>
    <w:p w14:paraId="76231070">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Times New Roman"/>
          <w:b w:val="0"/>
          <w:bCs/>
          <w:kern w:val="0"/>
          <w:sz w:val="32"/>
          <w:szCs w:val="32"/>
          <w:lang w:val="en-US" w:eastAsia="zh-CN" w:bidi="ar-SA"/>
        </w:rPr>
      </w:pPr>
      <w:bookmarkStart w:id="0" w:name="_Toc398675340"/>
      <w:bookmarkStart w:id="1" w:name="_Toc490218269"/>
      <w:bookmarkStart w:id="2" w:name="_Toc488925447"/>
      <w:bookmarkStart w:id="3" w:name="_Toc517260675"/>
      <w:r>
        <w:rPr>
          <w:rFonts w:hint="eastAsia" w:ascii="黑体" w:hAnsi="黑体" w:eastAsia="黑体" w:cs="Times New Roman"/>
          <w:b w:val="0"/>
          <w:bCs/>
          <w:kern w:val="0"/>
          <w:sz w:val="32"/>
          <w:szCs w:val="32"/>
          <w:lang w:val="zh-CN" w:eastAsia="zh-CN" w:bidi="ar-SA"/>
        </w:rPr>
        <w:t>三、</w:t>
      </w:r>
      <w:bookmarkEnd w:id="0"/>
      <w:bookmarkEnd w:id="1"/>
      <w:bookmarkEnd w:id="2"/>
      <w:r>
        <w:rPr>
          <w:rFonts w:hint="eastAsia" w:ascii="黑体" w:hAnsi="黑体" w:eastAsia="黑体" w:cs="Times New Roman"/>
          <w:b w:val="0"/>
          <w:bCs/>
          <w:kern w:val="0"/>
          <w:sz w:val="32"/>
          <w:szCs w:val="32"/>
          <w:lang w:val="zh-CN" w:eastAsia="zh-CN" w:bidi="ar-SA"/>
        </w:rPr>
        <w:t>存在问题和改进措施建议</w:t>
      </w:r>
      <w:bookmarkEnd w:id="3"/>
    </w:p>
    <w:p w14:paraId="2D4AA8B0">
      <w:pPr>
        <w:pStyle w:val="3"/>
        <w:keepNext/>
        <w:keepLines/>
        <w:pageBreakBefore w:val="0"/>
        <w:widowControl/>
        <w:kinsoku/>
        <w:wordWrap/>
        <w:overflowPunct/>
        <w:topLinePunct w:val="0"/>
        <w:autoSpaceDE/>
        <w:autoSpaceDN/>
        <w:bidi w:val="0"/>
        <w:adjustRightInd/>
        <w:snapToGrid/>
        <w:spacing w:before="0" w:after="0" w:line="600" w:lineRule="exact"/>
        <w:ind w:firstLine="643" w:firstLineChars="200"/>
        <w:textAlignment w:val="auto"/>
        <w:rPr>
          <w:rFonts w:hint="eastAsia" w:ascii="楷体" w:hAnsi="楷体" w:eastAsia="楷体" w:cs="Times New Roman"/>
          <w:b/>
          <w:bCs/>
          <w:color w:val="auto"/>
          <w:sz w:val="32"/>
          <w:lang w:val="en-US" w:eastAsia="zh-CN"/>
        </w:rPr>
      </w:pPr>
      <w:r>
        <w:rPr>
          <w:rFonts w:hint="eastAsia" w:ascii="楷体" w:hAnsi="楷体" w:eastAsia="楷体" w:cs="Times New Roman"/>
          <w:b/>
          <w:bCs/>
          <w:color w:val="auto"/>
          <w:sz w:val="32"/>
        </w:rPr>
        <w:t>（一）</w:t>
      </w:r>
      <w:r>
        <w:rPr>
          <w:rFonts w:hint="eastAsia" w:ascii="楷体" w:hAnsi="楷体" w:eastAsia="楷体" w:cs="Times New Roman"/>
          <w:b/>
          <w:bCs/>
          <w:color w:val="auto"/>
          <w:sz w:val="32"/>
          <w:lang w:val="en-US" w:eastAsia="zh-CN"/>
        </w:rPr>
        <w:t>存在问题</w:t>
      </w:r>
    </w:p>
    <w:p w14:paraId="0B6237C3">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无</w:t>
      </w:r>
    </w:p>
    <w:p w14:paraId="2F1A3CDC">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楷体" w:hAnsi="楷体" w:eastAsia="楷体" w:cs="Times New Roman"/>
          <w:b/>
          <w:bCs/>
          <w:color w:val="auto"/>
          <w:sz w:val="32"/>
          <w:lang w:eastAsia="zh-CN"/>
        </w:rPr>
      </w:pPr>
      <w:r>
        <w:rPr>
          <w:rFonts w:hint="eastAsia" w:ascii="楷体" w:hAnsi="楷体" w:eastAsia="楷体" w:cs="Times New Roman"/>
          <w:b/>
          <w:bCs/>
          <w:color w:val="auto"/>
          <w:sz w:val="32"/>
        </w:rPr>
        <w:t>（</w:t>
      </w:r>
      <w:r>
        <w:rPr>
          <w:rFonts w:hint="eastAsia" w:ascii="楷体" w:hAnsi="楷体" w:eastAsia="楷体" w:cs="Times New Roman"/>
          <w:b/>
          <w:bCs/>
          <w:color w:val="auto"/>
          <w:sz w:val="32"/>
          <w:lang w:val="en-US" w:eastAsia="zh-CN"/>
        </w:rPr>
        <w:t>二</w:t>
      </w:r>
      <w:r>
        <w:rPr>
          <w:rFonts w:hint="eastAsia" w:ascii="楷体" w:hAnsi="楷体" w:eastAsia="楷体" w:cs="Times New Roman"/>
          <w:b/>
          <w:bCs/>
          <w:color w:val="auto"/>
          <w:sz w:val="32"/>
        </w:rPr>
        <w:t>）</w:t>
      </w:r>
      <w:r>
        <w:rPr>
          <w:rFonts w:hint="eastAsia" w:ascii="楷体" w:hAnsi="楷体" w:eastAsia="楷体" w:cs="Times New Roman"/>
          <w:b/>
          <w:bCs/>
          <w:color w:val="auto"/>
          <w:sz w:val="32"/>
          <w:lang w:val="en-US" w:eastAsia="zh-CN"/>
        </w:rPr>
        <w:t>有关建议</w:t>
      </w:r>
    </w:p>
    <w:p w14:paraId="6A23BFFA">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1.严格落实项目责任主体负责制、招投标制、监理制、合同管理制、公示制和验收制等，克服困难，加快工程整体进度。</w:t>
      </w:r>
    </w:p>
    <w:p w14:paraId="410AE0F3">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2.健全体制机制，加强项目建设管理和计划执行调度。弥补项目设施维护管理上的漏洞，加强水利工程建成后的管理，进一步提高项目设施防灾减灾能力。</w:t>
      </w:r>
    </w:p>
    <w:p w14:paraId="008A806A">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 xml:space="preserve">3.完善水利工程建设质量监督制度，加强各方面审计监督力度，严格执行财务制度，增强廉政风险防控，确保各项治理措施按序时进度推进、生产安全和保质保量完成各项工程建设任务。 </w:t>
      </w:r>
    </w:p>
    <w:p w14:paraId="584AF8BC">
      <w:pPr>
        <w:keepNext w:val="0"/>
        <w:keepLines w:val="0"/>
        <w:widowControl/>
        <w:suppressLineNumbers w:val="0"/>
        <w:jc w:val="left"/>
      </w:pPr>
    </w:p>
    <w:p w14:paraId="35D31F46">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p>
    <w:p w14:paraId="74C90D9E">
      <w:pPr>
        <w:ind w:firstLine="640"/>
        <w:rPr>
          <w:rFonts w:hint="default"/>
          <w:lang w:val="en-US" w:eastAsia="zh-CN"/>
        </w:rPr>
      </w:pPr>
    </w:p>
    <w:sectPr>
      <w:pgSz w:w="11906" w:h="16838"/>
      <w:pgMar w:top="1723" w:right="1633"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8FA70"/>
    <w:multiLevelType w:val="singleLevel"/>
    <w:tmpl w:val="B648FA70"/>
    <w:lvl w:ilvl="0" w:tentative="0">
      <w:start w:val="1"/>
      <w:numFmt w:val="chineseCounting"/>
      <w:suff w:val="nothing"/>
      <w:lvlText w:val="%1、"/>
      <w:lvlJc w:val="left"/>
      <w:rPr>
        <w:rFonts w:hint="eastAsia"/>
      </w:rPr>
    </w:lvl>
  </w:abstractNum>
  <w:abstractNum w:abstractNumId="1">
    <w:nsid w:val="FFDFCF82"/>
    <w:multiLevelType w:val="multilevel"/>
    <w:tmpl w:val="FFDFCF82"/>
    <w:lvl w:ilvl="0" w:tentative="0">
      <w:start w:val="1"/>
      <w:numFmt w:val="decimal"/>
      <w:pStyle w:val="2"/>
      <w:suff w:val="space"/>
      <w:lvlText w:val="%1"/>
      <w:lvlJc w:val="left"/>
      <w:pPr>
        <w:ind w:left="3963" w:hanging="420"/>
      </w:pPr>
      <w:rPr>
        <w:rFonts w:hint="eastAsia"/>
      </w:rPr>
    </w:lvl>
    <w:lvl w:ilvl="1" w:tentative="0">
      <w:start w:val="1"/>
      <w:numFmt w:val="decimal"/>
      <w:pStyle w:val="3"/>
      <w:suff w:val="space"/>
      <w:lvlText w:val="%1.%2"/>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 w:ilvl="2" w:tentative="0">
      <w:start w:val="1"/>
      <w:numFmt w:val="decimal"/>
      <w:pStyle w:val="4"/>
      <w:suff w:val="space"/>
      <w:lvlText w:val="%1.%2.%3"/>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 w:ilvl="3" w:tentative="0">
      <w:start w:val="1"/>
      <w:numFmt w:val="decimal"/>
      <w:pStyle w:val="5"/>
      <w:suff w:val="space"/>
      <w:lvlText w:val="%1.%2.%3.%4"/>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 w:ilvl="4" w:tentative="0">
      <w:start w:val="1"/>
      <w:numFmt w:val="decimal"/>
      <w:lvlText w:val="%1.%2.%3.%4.%5"/>
      <w:lvlJc w:val="left"/>
      <w:pPr>
        <w:tabs>
          <w:tab w:val="left" w:pos="282"/>
        </w:tabs>
        <w:ind w:left="-2" w:firstLine="0"/>
      </w:pPr>
      <w:rPr>
        <w:rFonts w:hint="eastAsia"/>
      </w:rPr>
    </w:lvl>
    <w:lvl w:ilvl="5" w:tentative="0">
      <w:start w:val="1"/>
      <w:numFmt w:val="decimal"/>
      <w:lvlText w:val="%1.%2.%3.%4.%5.%6"/>
      <w:lvlJc w:val="left"/>
      <w:pPr>
        <w:tabs>
          <w:tab w:val="left" w:pos="282"/>
        </w:tabs>
        <w:ind w:left="-2" w:firstLine="0"/>
      </w:pPr>
      <w:rPr>
        <w:rFonts w:hint="eastAsia"/>
      </w:rPr>
    </w:lvl>
    <w:lvl w:ilvl="6" w:tentative="0">
      <w:start w:val="1"/>
      <w:numFmt w:val="decimal"/>
      <w:lvlText w:val="%1.%2.%3.%4.%5.%6.%7"/>
      <w:lvlJc w:val="left"/>
      <w:pPr>
        <w:tabs>
          <w:tab w:val="left" w:pos="282"/>
        </w:tabs>
        <w:ind w:left="-2" w:firstLine="0"/>
      </w:pPr>
      <w:rPr>
        <w:rFonts w:hint="eastAsia"/>
      </w:rPr>
    </w:lvl>
    <w:lvl w:ilvl="7" w:tentative="0">
      <w:start w:val="1"/>
      <w:numFmt w:val="decimal"/>
      <w:lvlText w:val="%1.%2.%3.%4.%5.%6.%7.%8"/>
      <w:lvlJc w:val="left"/>
      <w:pPr>
        <w:tabs>
          <w:tab w:val="left" w:pos="282"/>
        </w:tabs>
        <w:ind w:left="-2" w:firstLine="0"/>
      </w:pPr>
      <w:rPr>
        <w:rFonts w:hint="eastAsia"/>
      </w:rPr>
    </w:lvl>
    <w:lvl w:ilvl="8" w:tentative="0">
      <w:start w:val="1"/>
      <w:numFmt w:val="decimal"/>
      <w:lvlText w:val="%1.%2.%3.%4.%5.%6.%7.%8.%9"/>
      <w:lvlJc w:val="left"/>
      <w:pPr>
        <w:tabs>
          <w:tab w:val="left" w:pos="282"/>
        </w:tabs>
        <w:ind w:left="-2" w:firstLine="0"/>
      </w:pPr>
      <w:rPr>
        <w:rFonts w:hint="eastAsia"/>
      </w:rPr>
    </w:lvl>
  </w:abstractNum>
  <w:abstractNum w:abstractNumId="2">
    <w:nsid w:val="34445677"/>
    <w:multiLevelType w:val="singleLevel"/>
    <w:tmpl w:val="34445677"/>
    <w:lvl w:ilvl="0" w:tentative="0">
      <w:start w:val="3"/>
      <w:numFmt w:val="decimal"/>
      <w:suff w:val="nothing"/>
      <w:lvlText w:val="（%1）"/>
      <w:lvlJc w:val="left"/>
    </w:lvl>
  </w:abstractNum>
  <w:abstractNum w:abstractNumId="3">
    <w:nsid w:val="4E4C4F25"/>
    <w:multiLevelType w:val="singleLevel"/>
    <w:tmpl w:val="4E4C4F25"/>
    <w:lvl w:ilvl="0" w:tentative="0">
      <w:start w:val="1"/>
      <w:numFmt w:val="chineseCounting"/>
      <w:suff w:val="nothing"/>
      <w:lvlText w:val="（%1）"/>
      <w:lvlJc w:val="left"/>
      <w:pPr>
        <w:ind w:left="640" w:leftChars="0" w:firstLine="0" w:firstLineChars="0"/>
      </w:pPr>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ZDg1NTNlMTkwYThiYzdlMjUyMzQ3NzhiNzJkMDIifQ=="/>
  </w:docVars>
  <w:rsids>
    <w:rsidRoot w:val="1A070929"/>
    <w:rsid w:val="05C005C6"/>
    <w:rsid w:val="0C152235"/>
    <w:rsid w:val="0EE82BEA"/>
    <w:rsid w:val="127A1044"/>
    <w:rsid w:val="15F96A0E"/>
    <w:rsid w:val="19AB3208"/>
    <w:rsid w:val="1A070929"/>
    <w:rsid w:val="1DE1625F"/>
    <w:rsid w:val="1FA444D6"/>
    <w:rsid w:val="27D73B2E"/>
    <w:rsid w:val="2A4D3C35"/>
    <w:rsid w:val="2D397142"/>
    <w:rsid w:val="463D71C5"/>
    <w:rsid w:val="4D3B4E43"/>
    <w:rsid w:val="4FB010CF"/>
    <w:rsid w:val="4FBF7ABB"/>
    <w:rsid w:val="5E430AA6"/>
    <w:rsid w:val="5ED2769F"/>
    <w:rsid w:val="6556551A"/>
    <w:rsid w:val="6B1F3D2C"/>
    <w:rsid w:val="79903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0"/>
    <w:pPr>
      <w:widowControl/>
      <w:numPr>
        <w:ilvl w:val="0"/>
        <w:numId w:val="1"/>
      </w:numPr>
      <w:spacing w:before="50" w:beforeLines="50" w:after="50" w:afterLines="50"/>
      <w:ind w:left="0" w:firstLine="0" w:firstLineChars="0"/>
      <w:jc w:val="center"/>
      <w:outlineLvl w:val="0"/>
    </w:pPr>
    <w:rPr>
      <w:rFonts w:ascii="Times New Roman" w:hAnsi="Times New Roman" w:eastAsia="方正小标宋简体" w:cs="宋体"/>
      <w:bCs/>
      <w:sz w:val="32"/>
      <w:szCs w:val="48"/>
    </w:rPr>
  </w:style>
  <w:style w:type="paragraph" w:styleId="3">
    <w:name w:val="heading 2"/>
    <w:basedOn w:val="1"/>
    <w:next w:val="1"/>
    <w:autoRedefine/>
    <w:unhideWhenUsed/>
    <w:qFormat/>
    <w:uiPriority w:val="0"/>
    <w:pPr>
      <w:keepNext/>
      <w:keepLines/>
      <w:numPr>
        <w:ilvl w:val="1"/>
        <w:numId w:val="1"/>
      </w:numPr>
      <w:spacing w:beforeLines="0" w:beforeAutospacing="0" w:afterLines="0" w:afterAutospacing="0" w:line="600" w:lineRule="exact"/>
      <w:outlineLvl w:val="1"/>
    </w:pPr>
    <w:rPr>
      <w:rFonts w:ascii="Arial" w:hAnsi="Arial" w:eastAsia="黑体"/>
    </w:rPr>
  </w:style>
  <w:style w:type="paragraph" w:styleId="4">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paragraph" w:styleId="5">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spacing w:line="580" w:lineRule="exact"/>
      <w:ind w:firstLine="420" w:firstLineChars="200"/>
    </w:pPr>
    <w:rPr>
      <w:rFonts w:eastAsia="仿宋_GB2312" w:cs="Times New Roman"/>
      <w:sz w:val="32"/>
    </w:rPr>
  </w:style>
  <w:style w:type="paragraph" w:styleId="7">
    <w:name w:val="Body Text"/>
    <w:basedOn w:val="1"/>
    <w:next w:val="6"/>
    <w:autoRedefine/>
    <w:qFormat/>
    <w:uiPriority w:val="0"/>
    <w:pPr>
      <w:spacing w:after="120"/>
    </w:pPr>
    <w:rPr>
      <w:rFonts w:ascii="Times New Roman" w:hAnsi="Times New Roman" w:eastAsia="仿宋_GB2312"/>
      <w:sz w:val="32"/>
    </w:rPr>
  </w:style>
  <w:style w:type="paragraph" w:styleId="8">
    <w:name w:val="header"/>
    <w:basedOn w:val="1"/>
    <w:autoRedefine/>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autoRedefine/>
    <w:unhideWhenUsed/>
    <w:qFormat/>
    <w:uiPriority w:val="39"/>
    <w:pPr>
      <w:tabs>
        <w:tab w:val="right" w:leader="dot" w:pos="8296"/>
      </w:tabs>
      <w:spacing w:line="500" w:lineRule="exact"/>
      <w:jc w:val="center"/>
    </w:pPr>
    <w:rPr>
      <w:rFonts w:eastAsia="仿宋_GB2312"/>
      <w:b/>
      <w:sz w:val="32"/>
      <w:szCs w:val="28"/>
    </w:rPr>
  </w:style>
  <w:style w:type="paragraph" w:customStyle="1" w:styleId="12">
    <w:name w:val="闻政标题3"/>
    <w:basedOn w:val="4"/>
    <w:autoRedefine/>
    <w:qFormat/>
    <w:uiPriority w:val="0"/>
    <w:pPr>
      <w:spacing w:before="120" w:after="60" w:line="500" w:lineRule="exact"/>
      <w:jc w:val="left"/>
      <w:outlineLvl w:val="0"/>
    </w:pPr>
    <w:rPr>
      <w:rFonts w:ascii="黑体" w:hAnsi="黑体" w:eastAsia="黑体"/>
      <w:b w:val="0"/>
    </w:rPr>
  </w:style>
  <w:style w:type="paragraph" w:customStyle="1" w:styleId="13">
    <w:name w:val="闻政标题4"/>
    <w:basedOn w:val="3"/>
    <w:autoRedefine/>
    <w:qFormat/>
    <w:uiPriority w:val="0"/>
    <w:pPr>
      <w:spacing w:before="120" w:after="60" w:line="500" w:lineRule="exact"/>
      <w:ind w:firstLine="200" w:firstLineChars="200"/>
      <w:jc w:val="left"/>
    </w:pPr>
    <w:rPr>
      <w:rFonts w:ascii="Times New Roman" w:hAnsi="Times New Roman" w:eastAsia="仿宋_GB2312"/>
      <w:sz w:val="28"/>
    </w:rPr>
  </w:style>
  <w:style w:type="paragraph" w:customStyle="1" w:styleId="14">
    <w:name w:val="闻政正文"/>
    <w:basedOn w:val="1"/>
    <w:autoRedefine/>
    <w:qFormat/>
    <w:uiPriority w:val="0"/>
    <w:pPr>
      <w:spacing w:line="500" w:lineRule="exact"/>
      <w:ind w:firstLine="560" w:firstLineChars="200"/>
    </w:pPr>
    <w:rPr>
      <w:rFonts w:eastAsia="仿宋_GB2312"/>
      <w:kern w:val="0"/>
      <w:sz w:val="28"/>
      <w:szCs w:val="28"/>
      <w:lang w:val="zh-CN"/>
    </w:rPr>
  </w:style>
  <w:style w:type="character" w:customStyle="1" w:styleId="15">
    <w:name w:val="明显参考1"/>
    <w:autoRedefine/>
    <w:qFormat/>
    <w:uiPriority w:val="0"/>
    <w:rPr>
      <w:b/>
      <w:bCs/>
      <w:smallCaps/>
      <w:color w:val="5B9BD5"/>
      <w:spacing w:val="5"/>
    </w:rPr>
  </w:style>
  <w:style w:type="paragraph" w:customStyle="1" w:styleId="16">
    <w:name w:val="闻政表"/>
    <w:basedOn w:val="1"/>
    <w:autoRedefine/>
    <w:qFormat/>
    <w:uiPriority w:val="0"/>
    <w:pPr>
      <w:spacing w:before="60" w:after="60"/>
      <w:jc w:val="center"/>
    </w:pPr>
    <w:rPr>
      <w:rFonts w:eastAsia="仿宋_GB2312"/>
      <w:b/>
      <w:kern w:val="0"/>
      <w:sz w:val="24"/>
      <w:szCs w:val="28"/>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3309</Words>
  <Characters>3480</Characters>
  <Lines>0</Lines>
  <Paragraphs>0</Paragraphs>
  <TotalTime>1</TotalTime>
  <ScaleCrop>false</ScaleCrop>
  <LinksUpToDate>false</LinksUpToDate>
  <CharactersWithSpaces>3481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2023-12-28T08:28:00Z</dcterms:created>
  <dc:creator>℡ Tearing</dc:creator>
  <cp:lastModifiedBy>心飞扬</cp:lastModifiedBy>
  <dcterms:modified xsi:type="dcterms:W3CDTF">2024-09-20T07:44:30Z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74D8A47613A749958D36382276A996E0_11</vt:lpwstr>
  </property>
</Properties>
</file>