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BA9A3">
      <w:pPr>
        <w:spacing w:before="120" w:after="120" w:line="480" w:lineRule="auto"/>
        <w:jc w:val="center"/>
        <w:rPr>
          <w:rFonts w:ascii="黑体" w:hAnsi="黑体" w:eastAsia="黑体"/>
          <w:b/>
          <w:sz w:val="32"/>
          <w:szCs w:val="32"/>
        </w:rPr>
      </w:pPr>
      <w:bookmarkStart w:id="4" w:name="_GoBack"/>
      <w:bookmarkEnd w:id="4"/>
      <w:r>
        <w:rPr>
          <w:rFonts w:hint="eastAsia" w:ascii="黑体" w:hAnsi="黑体" w:eastAsia="黑体"/>
          <w:b/>
          <w:sz w:val="32"/>
          <w:szCs w:val="32"/>
        </w:rPr>
        <w:t>财政项目支出绩效自评价报告</w:t>
      </w:r>
    </w:p>
    <w:p w14:paraId="17DA942C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2868057D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32F77A51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592EC32F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27A289D8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608F6D2D">
      <w:pPr>
        <w:spacing w:line="480" w:lineRule="auto"/>
        <w:jc w:val="center"/>
        <w:rPr>
          <w:rFonts w:eastAsia="黑体"/>
          <w:b/>
          <w:kern w:val="0"/>
          <w:sz w:val="50"/>
          <w:szCs w:val="50"/>
          <w:lang w:bidi="en-US"/>
        </w:rPr>
      </w:pPr>
    </w:p>
    <w:p w14:paraId="221B304D">
      <w:pPr>
        <w:spacing w:line="480" w:lineRule="auto"/>
        <w:jc w:val="center"/>
        <w:rPr>
          <w:rFonts w:ascii="仿宋_GB2312"/>
          <w:kern w:val="0"/>
          <w:sz w:val="30"/>
          <w:szCs w:val="30"/>
          <w:lang w:bidi="en-US"/>
        </w:rPr>
      </w:pPr>
    </w:p>
    <w:p w14:paraId="3397C620"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项目名称：</w:t>
      </w:r>
      <w:r>
        <w:rPr>
          <w:rFonts w:ascii="黑体" w:hAnsi="黑体" w:eastAsia="黑体" w:cs="黑体"/>
          <w:color w:val="auto"/>
          <w:sz w:val="28"/>
          <w:u w:val="none"/>
        </w:rPr>
        <w:t>甘财农[2022]111号，提前下达2023年中央财政水利发展资金-2023年小型水库维修养护项目</w: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begin"/>
      </w:r>
      <w:r>
        <w:rPr>
          <w:rFonts w:hint="eastAsia" w:ascii="黑体" w:hAnsi="黑体" w:eastAsia="黑体"/>
          <w:kern w:val="0"/>
          <w:sz w:val="28"/>
          <w:szCs w:val="28"/>
          <w:lang w:bidi="en-US"/>
        </w:rPr>
        <w:instrText xml:space="preserve">MERGEFIELD  projectName  \* MERGEFORMAT</w:instrText>
      </w:r>
      <w:r>
        <w:rPr>
          <w:rFonts w:ascii="黑体" w:hAnsi="黑体" w:eastAsia="黑体"/>
          <w:kern w:val="0"/>
          <w:sz w:val="28"/>
          <w:szCs w:val="28"/>
          <w:lang w:bidi="en-US"/>
        </w:rPr>
        <w:fldChar w:fldCharType="end"/>
      </w:r>
    </w:p>
    <w:p w14:paraId="416D4A67"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项目单位：</w:t>
      </w:r>
      <w:r>
        <w:rPr>
          <w:rFonts w:ascii="黑体" w:hAnsi="黑体" w:eastAsia="黑体" w:cs="黑体"/>
          <w:color w:val="auto"/>
          <w:sz w:val="28"/>
          <w:u w:val="none"/>
        </w:rPr>
        <w:t>临泽县水务局</w:t>
      </w:r>
    </w:p>
    <w:p w14:paraId="46302536">
      <w:pPr>
        <w:adjustRightInd w:val="0"/>
        <w:snapToGrid w:val="0"/>
        <w:spacing w:before="120" w:line="480" w:lineRule="auto"/>
        <w:ind w:firstLine="1400" w:firstLineChars="500"/>
        <w:jc w:val="left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主管部门：</w:t>
      </w:r>
      <w:r>
        <w:rPr>
          <w:rFonts w:ascii="黑体" w:hAnsi="黑体" w:eastAsia="黑体" w:cs="黑体"/>
          <w:color w:val="auto"/>
          <w:sz w:val="28"/>
          <w:u w:val="none"/>
        </w:rPr>
        <w:t>临泽县水务局</w:t>
      </w:r>
    </w:p>
    <w:p w14:paraId="2CFA203A"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 w14:paraId="7CBBD573">
      <w:pPr>
        <w:spacing w:line="480" w:lineRule="auto"/>
        <w:rPr>
          <w:rFonts w:ascii="黑体" w:eastAsia="黑体"/>
          <w:b/>
          <w:kern w:val="0"/>
          <w:sz w:val="32"/>
          <w:szCs w:val="32"/>
          <w:lang w:bidi="en-US"/>
        </w:rPr>
      </w:pPr>
    </w:p>
    <w:p w14:paraId="266684E7">
      <w:pPr>
        <w:adjustRightInd w:val="0"/>
        <w:snapToGrid w:val="0"/>
        <w:spacing w:before="120"/>
        <w:jc w:val="center"/>
        <w:rPr>
          <w:rFonts w:hint="eastAsia" w:ascii="黑体" w:hAnsi="黑体" w:eastAsia="黑体"/>
          <w:kern w:val="0"/>
          <w:sz w:val="28"/>
          <w:szCs w:val="28"/>
          <w:lang w:bidi="en-US"/>
        </w:rPr>
      </w:pPr>
    </w:p>
    <w:p w14:paraId="276B1502">
      <w:pPr>
        <w:adjustRightInd w:val="0"/>
        <w:snapToGrid w:val="0"/>
        <w:spacing w:before="120"/>
        <w:jc w:val="center"/>
        <w:rPr>
          <w:rFonts w:hint="eastAsia" w:ascii="黑体" w:hAnsi="黑体" w:eastAsia="黑体"/>
          <w:kern w:val="0"/>
          <w:sz w:val="28"/>
          <w:szCs w:val="28"/>
          <w:lang w:bidi="en-US"/>
        </w:rPr>
      </w:pPr>
    </w:p>
    <w:p w14:paraId="1F8C9330">
      <w:pPr>
        <w:adjustRightInd w:val="0"/>
        <w:snapToGrid w:val="0"/>
        <w:spacing w:before="120"/>
        <w:jc w:val="center"/>
        <w:rPr>
          <w:rFonts w:ascii="黑体" w:hAnsi="黑体" w:eastAsia="黑体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/>
          <w:kern w:val="0"/>
          <w:sz w:val="28"/>
          <w:szCs w:val="28"/>
          <w:lang w:bidi="en-US"/>
        </w:rPr>
        <w:t>2023年</w:t>
      </w:r>
      <w:r>
        <w:rPr>
          <w:rFonts w:ascii="黑体" w:hAnsi="黑体" w:eastAsia="黑体"/>
          <w:kern w:val="0"/>
          <w:sz w:val="28"/>
          <w:szCs w:val="28"/>
          <w:lang w:bidi="en-US"/>
        </w:rPr>
        <w:t>12</w:t>
      </w:r>
      <w:r>
        <w:rPr>
          <w:rFonts w:ascii="黑体" w:hAnsi="黑体" w:eastAsia="黑体" w:cs="黑体"/>
          <w:color w:val="auto"/>
          <w:sz w:val="28"/>
          <w:u w:val="none"/>
        </w:rPr>
        <w:t>月</w:t>
      </w:r>
    </w:p>
    <w:p w14:paraId="4BA8C6C0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5E3D10BC">
      <w:pPr>
        <w:rPr>
          <w:rFonts w:hint="eastAsia"/>
          <w:sz w:val="36"/>
          <w:szCs w:val="36"/>
          <w:lang w:val="en-US" w:eastAsia="zh-CN"/>
        </w:rPr>
      </w:pPr>
    </w:p>
    <w:p w14:paraId="4923E321">
      <w:pPr>
        <w:pStyle w:val="2"/>
        <w:numPr>
          <w:ilvl w:val="0"/>
          <w:numId w:val="0"/>
        </w:numPr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摘要</w:t>
      </w:r>
    </w:p>
    <w:p w14:paraId="543B1AAE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31A23FC9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5526BF32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3D0A33F5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3D0CBE0F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3B45756C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16489AA4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14CB1745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360707E0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209A290E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184B4D07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21B33F5B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535428EC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21089971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5E5E1471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5E56316E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23703C51">
      <w:pPr>
        <w:rPr>
          <w:rFonts w:hint="eastAsia"/>
          <w:lang w:val="en-US" w:eastAsia="zh-CN"/>
        </w:rPr>
      </w:pPr>
    </w:p>
    <w:p w14:paraId="58D9C5F0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</w:p>
    <w:p w14:paraId="429D364F">
      <w:pPr>
        <w:pStyle w:val="2"/>
        <w:numPr>
          <w:ilvl w:val="0"/>
          <w:numId w:val="0"/>
        </w:numPr>
        <w:bidi w:val="0"/>
        <w:ind w:leftChars="0" w:firstLine="1800" w:firstLineChars="500"/>
        <w:jc w:val="both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财政项目支出绩效自评价报告</w:t>
      </w:r>
    </w:p>
    <w:p w14:paraId="28095B3E">
      <w:pPr>
        <w:jc w:val="center"/>
        <w:rPr>
          <w:rFonts w:hint="default"/>
          <w:spacing w:val="-11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-11"/>
          <w:w w:val="90"/>
          <w:sz w:val="36"/>
          <w:szCs w:val="36"/>
          <w:lang w:val="en-US" w:eastAsia="zh-CN"/>
        </w:rPr>
        <w:t>临泽县小型水利建设项目双泉湖水库2023年维修养护工程</w:t>
      </w:r>
    </w:p>
    <w:p w14:paraId="1493A90D">
      <w:pPr>
        <w:jc w:val="both"/>
        <w:rPr>
          <w:rFonts w:hint="default"/>
          <w:lang w:val="en-US" w:eastAsia="zh-CN"/>
        </w:rPr>
      </w:pPr>
    </w:p>
    <w:p w14:paraId="5A4D97DC">
      <w:pPr>
        <w:numPr>
          <w:ilvl w:val="0"/>
          <w:numId w:val="2"/>
        </w:numPr>
        <w:ind w:firstLine="640" w:firstLineChars="200"/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工程基本情况</w:t>
      </w:r>
    </w:p>
    <w:p w14:paraId="364C5A31">
      <w:pPr>
        <w:numPr>
          <w:ilvl w:val="0"/>
          <w:numId w:val="3"/>
        </w:numPr>
        <w:ind w:left="640" w:leftChars="0" w:firstLine="0" w:firstLineChars="0"/>
        <w:jc w:val="both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项目情况</w:t>
      </w:r>
    </w:p>
    <w:p w14:paraId="4A0B45C1">
      <w:pPr>
        <w:ind w:firstLine="4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甘肃省张掖市临泽县双泉湖水库现状库容250万m3，属四等小（1）型工程，是梨园河灌区一个以农业灌溉为主，兼顾渔业养殖与旅游的平原洼地水库，水库经多年运行，库区淤积严重，水库淤积量约为58.9万m3，占用了兴利库容，下游灌溉农田灌溉无法得到保障，因此，通过对双泉湖水库进行清淤，即可解决水库库区严重淤积，兴利库容严重不足的问题。节水办委托张掖市甘兰水利水电建筑设计院经过详细的踏勘，编制了《临泽县小型水利建设项目双泉湖水库2023年维修养护工程初步设计报告》。</w:t>
      </w:r>
    </w:p>
    <w:p w14:paraId="045C4AAA">
      <w:pPr>
        <w:ind w:firstLine="720" w:firstLineChars="22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2023年5月5日，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临泽县水务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局以临水建字〔202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45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号文件批复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工程实施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，工程主要建设内容为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/>
          <w:color w:val="000000"/>
          <w:szCs w:val="20"/>
        </w:rPr>
        <w:t>对双泉湖水库</w:t>
      </w:r>
      <w:r>
        <w:rPr>
          <w:rFonts w:hint="eastAsia" w:ascii="宋体" w:hAnsi="宋体" w:cs="宋体"/>
          <w:color w:val="000000"/>
          <w:szCs w:val="20"/>
        </w:rPr>
        <w:t>库区淤积物进行开挖清理，清淤</w:t>
      </w:r>
      <w:r>
        <w:rPr>
          <w:rFonts w:hint="eastAsia" w:ascii="宋体" w:hAnsi="宋体" w:cs="宋体"/>
          <w:color w:val="000000"/>
          <w:szCs w:val="20"/>
          <w:highlight w:val="none"/>
        </w:rPr>
        <w:t>量约为</w:t>
      </w:r>
      <w:r>
        <w:rPr>
          <w:rFonts w:hint="eastAsia" w:ascii="宋体" w:hAnsi="宋体" w:cs="宋体"/>
          <w:color w:val="000000"/>
          <w:szCs w:val="20"/>
          <w:highlight w:val="none"/>
          <w:lang w:val="en-US" w:eastAsia="zh-CN"/>
        </w:rPr>
        <w:t>2.89</w:t>
      </w:r>
      <w:r>
        <w:rPr>
          <w:rFonts w:hint="eastAsia" w:ascii="宋体" w:hAnsi="宋体" w:cs="宋体"/>
          <w:color w:val="000000"/>
          <w:szCs w:val="20"/>
          <w:highlight w:val="none"/>
        </w:rPr>
        <w:t>万m</w:t>
      </w:r>
      <w:r>
        <w:rPr>
          <w:rFonts w:hint="eastAsia" w:ascii="宋体" w:hAnsi="宋体" w:cs="宋体"/>
          <w:color w:val="000000"/>
          <w:szCs w:val="20"/>
          <w:highlight w:val="none"/>
          <w:vertAlign w:val="superscript"/>
        </w:rPr>
        <w:t>3</w:t>
      </w:r>
      <w:r>
        <w:rPr>
          <w:rFonts w:hint="eastAsia"/>
          <w:highlight w:val="none"/>
          <w:lang w:val="en-US" w:eastAsia="zh-CN"/>
        </w:rPr>
        <w:t>。</w:t>
      </w:r>
    </w:p>
    <w:p w14:paraId="439B8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outlineLvl w:val="0"/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。工程批复总投资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41.29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</w:t>
      </w:r>
    </w:p>
    <w:p w14:paraId="2553FDE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leftChars="0" w:firstLine="0" w:firstLineChars="0"/>
        <w:textAlignment w:val="auto"/>
        <w:outlineLvl w:val="0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预算资金情况</w:t>
      </w:r>
    </w:p>
    <w:p w14:paraId="7C135E31">
      <w:pPr>
        <w:pStyle w:val="12"/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项目总预算金额：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40万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元；</w:t>
      </w:r>
    </w:p>
    <w:p w14:paraId="21565A35">
      <w:pPr>
        <w:pStyle w:val="12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项目当年预算金额：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40万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元；</w:t>
      </w:r>
    </w:p>
    <w:p w14:paraId="6BD62B5D">
      <w:pPr>
        <w:numPr>
          <w:ilvl w:val="0"/>
          <w:numId w:val="0"/>
        </w:numPr>
        <w:ind w:firstLine="640"/>
        <w:jc w:val="both"/>
        <w:rPr>
          <w:rFonts w:hint="default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根据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《甘肃省财政厅关于提前下达2023年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中央财政水利发展资金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预算的通知》（甘财农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11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号）下达本工程建设资金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，根据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《甘肃省财政厅关于下达2023年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省级财政水利发展资金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预算的通知》（甘财农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号）下达本工程建设资金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 w14:paraId="4EEFB5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0"/>
        <w:rPr>
          <w:rFonts w:ascii="黑体" w:hAnsi="黑体" w:eastAsia="黑体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Times New Roman"/>
          <w:b w:val="0"/>
          <w:bCs/>
          <w:kern w:val="0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Times New Roman"/>
          <w:b w:val="0"/>
          <w:bCs/>
          <w:kern w:val="0"/>
          <w:sz w:val="32"/>
          <w:szCs w:val="32"/>
          <w:lang w:val="zh-CN" w:eastAsia="zh-CN" w:bidi="ar-SA"/>
        </w:rPr>
        <w:t>评价结论和绩效分析</w:t>
      </w:r>
    </w:p>
    <w:p w14:paraId="23225876">
      <w:pPr>
        <w:pStyle w:val="11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评价结果</w:t>
      </w:r>
    </w:p>
    <w:p w14:paraId="1B0403D9">
      <w:pPr>
        <w:pStyle w:val="1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评价得分：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99.87</w:t>
      </w:r>
    </w:p>
    <w:p w14:paraId="1B11BFED">
      <w:pPr>
        <w:pStyle w:val="1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绩效等级：优秀</w:t>
      </w:r>
    </w:p>
    <w:p w14:paraId="0CFC6B15">
      <w:pPr>
        <w:bidi w:val="0"/>
        <w:ind w:firstLine="320" w:firstLineChars="100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（一）项目资金情况分析</w:t>
      </w:r>
    </w:p>
    <w:p w14:paraId="4B35B382">
      <w:pPr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1.资金到位情况</w:t>
      </w:r>
    </w:p>
    <w:p w14:paraId="3E2D1992">
      <w:pPr>
        <w:numPr>
          <w:ilvl w:val="0"/>
          <w:numId w:val="0"/>
        </w:numPr>
        <w:ind w:firstLine="640"/>
        <w:jc w:val="both"/>
        <w:rPr>
          <w:rFonts w:hint="default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根据甘财农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111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号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甘财农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号文件下达本工程建设资金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40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万元，实际资金到位</w:t>
      </w:r>
      <w:r>
        <w:rPr>
          <w:rFonts w:hint="eastAsia" w:ascii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40</w:t>
      </w:r>
      <w:r>
        <w:rPr>
          <w:rFonts w:hint="eastAsia" w:ascii="仿宋_GB2312" w:hAns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财政资金到位率100%，资金到位及时。</w:t>
      </w:r>
    </w:p>
    <w:p w14:paraId="10E49599">
      <w:pPr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2.资金完成情况</w:t>
      </w:r>
    </w:p>
    <w:p w14:paraId="22B0A883">
      <w:pPr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至目前，该工程批复建设内容已全部完成。完成投资250万元，完成率100%。</w:t>
      </w:r>
    </w:p>
    <w:p w14:paraId="70EFD278">
      <w:pPr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3.资金管理情况</w:t>
      </w:r>
    </w:p>
    <w:p w14:paraId="2706A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/>
          <w:sz w:val="32"/>
          <w:szCs w:val="32"/>
          <w:lang w:val="en-US" w:eastAsia="zh-CN"/>
        </w:rPr>
        <w:t>（1）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财务管理情况</w:t>
      </w:r>
    </w:p>
    <w:p w14:paraId="02C9B5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严格执行《水利发展资金使用管理办法》（财农〔2019〕54号）、《甘肃省水利发展资金管理实施细则》（甘财农〔2020〕8号）和《甘肃省水利发展资金绩效管理暂行办法》（甘财农二〔2018〕103号）等资金管理办法。按照“专户管理，专款专用，注重实效”的原则进行资金管理使用。</w:t>
      </w:r>
    </w:p>
    <w:p w14:paraId="2919BC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一是建立健全各项管理制度。为规范和加强专项资金的管理，保证资金安全使用，建设单位结合实际制定了《工程资金管理和工程价款结算支付管理制度》，按照《国有建设单位会计制度》的要求，设立会计帐簿，对专项资金运行的各个过程进行记录、核算、监督、管理。</w:t>
      </w:r>
    </w:p>
    <w:p w14:paraId="0122EE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二是加强项目资金管理力度，严把资金核拨和报帐程序。专项资金的管理遵循“报帐制”原则，分项目核算。</w:t>
      </w:r>
    </w:p>
    <w:p w14:paraId="4D155C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三是严格控制待摊投资的支出，科学归集单项工程的共同性费用。专项资金的管理费支出严格按照国家有关规定控制使用范围。</w:t>
      </w:r>
    </w:p>
    <w:p w14:paraId="7A662E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四是严格投资概算控制，在工程建设过程中，严格根据设计图纸施工，有效控制了工程投资概算。该工程没有超出概算。</w:t>
      </w:r>
    </w:p>
    <w:p w14:paraId="58F7CE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（2）资金安全</w:t>
      </w:r>
    </w:p>
    <w:p w14:paraId="10CF88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项目严格执行《甘肃省水利发展资金使用管理实施办法》等资金管理办法及规章制度，严格管理建设资金。资金支付执行国库存集中支付制度和县级财政报账制，从制度和机制上确保水利发展资金安全运行。各项目建设单位设立专户，封闭运行。按照批复的建设内容、规模和范围作用，专账核算、专款专用，严禁挤占、截留、挪用，确保了资金及时到位，促进了工程建设的顺利实施。按照合同要求，定期按实际完成的工程量，经监理部审核，项目法人审查验收，进行工程进度款结算。在工程建设过程中，严格执行合同管理制，无拖欠工程款和农民工工资的情况。</w:t>
      </w:r>
    </w:p>
    <w:p w14:paraId="64F92B34">
      <w:pPr>
        <w:bidi w:val="0"/>
        <w:ind w:firstLine="640" w:firstLineChars="200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（二）项目管理情况分析</w:t>
      </w:r>
    </w:p>
    <w:p w14:paraId="00CCC8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1.组织实施</w:t>
      </w:r>
    </w:p>
    <w:p w14:paraId="547F66F8">
      <w:pPr>
        <w:ind w:firstLine="640" w:firstLineChars="200"/>
        <w:jc w:val="left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）临泽县小型水利建设项目双泉湖水库2023年维修养护工程批复的绩效目标为：对双泉湖水库库区淤积物进行开挖清理，清淤量约为2.89万m3。绩效目标未发生调整。</w:t>
      </w:r>
    </w:p>
    <w:p w14:paraId="6CB76CCF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2）为加强临泽县小型水利建设项目双泉湖水库2023年维修养护工程建设与管理，临泽县节水型社会试点建设领导小组办公室作为项目法人，全面负责该工程建设的日常管理工作，包括项目招投标、施工管理、资金管理、后勤与材料供应、档案管理及工程竣工验收等。本工程建设严格按照“四制”进行管理，实行合同管理。项目合同签订后，严格按照工程实施方案开展项目，做到了事前预防、事中监督、事后把关，进行质量控制。质量管理实行法人负责、施工单位保证、监理单位控制和政府部门监督相结合的质量管理体系，严格执行基本建设程序，对工程规模、效益、质量、投资进行了严格控制。</w:t>
      </w:r>
    </w:p>
    <w:p w14:paraId="0654F92B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（三）产出指标完成情况分析</w:t>
      </w:r>
    </w:p>
    <w:p w14:paraId="147CDA4F">
      <w:pPr>
        <w:pStyle w:val="11"/>
        <w:numPr>
          <w:ilvl w:val="1"/>
          <w:numId w:val="0"/>
        </w:numPr>
        <w:spacing w:line="240" w:lineRule="auto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已完成指标</w:t>
      </w:r>
    </w:p>
    <w:tbl>
      <w:tblPr>
        <w:tblStyle w:val="8"/>
        <w:tblW w:w="5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2268"/>
      </w:tblGrid>
      <w:tr w14:paraId="2107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079" w:type="dxa"/>
            <w:shd w:val="clear" w:color="000000" w:fill="BFBFBF"/>
          </w:tcPr>
          <w:p w14:paraId="55F6B79C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 w14:paraId="44F81F37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</w:tr>
      <w:tr w14:paraId="05BC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 w14:paraId="055293EC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已建成工程是否存在质量问题</w:t>
            </w:r>
          </w:p>
        </w:tc>
        <w:tc>
          <w:tcPr>
            <w:tcW w:w="2268" w:type="dxa"/>
            <w:vAlign w:val="center"/>
          </w:tcPr>
          <w:p w14:paraId="23459CD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 w14:paraId="13D53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079" w:type="dxa"/>
            <w:vAlign w:val="center"/>
          </w:tcPr>
          <w:p w14:paraId="1901E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截至2024年6月底，投资完成比列（%）</w:t>
            </w:r>
          </w:p>
        </w:tc>
        <w:tc>
          <w:tcPr>
            <w:tcW w:w="2268" w:type="dxa"/>
            <w:vAlign w:val="center"/>
          </w:tcPr>
          <w:p w14:paraId="06A9FE0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 w14:paraId="4C72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3079" w:type="dxa"/>
            <w:vAlign w:val="center"/>
          </w:tcPr>
          <w:p w14:paraId="0623A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年度预算控制率（%）</w:t>
            </w:r>
          </w:p>
        </w:tc>
        <w:tc>
          <w:tcPr>
            <w:tcW w:w="2268" w:type="dxa"/>
            <w:vAlign w:val="center"/>
          </w:tcPr>
          <w:p w14:paraId="20B136E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 w14:paraId="4062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 w14:paraId="17262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工程验收合格率（%）</w:t>
            </w:r>
          </w:p>
        </w:tc>
        <w:tc>
          <w:tcPr>
            <w:tcW w:w="2268" w:type="dxa"/>
            <w:vAlign w:val="center"/>
          </w:tcPr>
          <w:p w14:paraId="10CF620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 w14:paraId="7DF63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3079" w:type="dxa"/>
            <w:vAlign w:val="center"/>
          </w:tcPr>
          <w:p w14:paraId="1E72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截至2024年6月底完工项目初步验收率（%））</w:t>
            </w:r>
          </w:p>
        </w:tc>
        <w:tc>
          <w:tcPr>
            <w:tcW w:w="2268" w:type="dxa"/>
            <w:vAlign w:val="center"/>
          </w:tcPr>
          <w:p w14:paraId="40056D6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  <w:tr w14:paraId="5C40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 w14:paraId="3A933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改善灌区调蓄、灌溉条件</w:t>
            </w:r>
          </w:p>
        </w:tc>
        <w:tc>
          <w:tcPr>
            <w:tcW w:w="2268" w:type="dxa"/>
            <w:vAlign w:val="center"/>
          </w:tcPr>
          <w:p w14:paraId="2B51273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100%</w:t>
            </w:r>
          </w:p>
        </w:tc>
      </w:tr>
      <w:tr w14:paraId="1242F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79" w:type="dxa"/>
            <w:vAlign w:val="center"/>
          </w:tcPr>
          <w:p w14:paraId="77A58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小型水库工程维修养护座数（座）</w:t>
            </w:r>
          </w:p>
        </w:tc>
        <w:tc>
          <w:tcPr>
            <w:tcW w:w="2268" w:type="dxa"/>
            <w:vAlign w:val="center"/>
          </w:tcPr>
          <w:p w14:paraId="78422A1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100.00%</w:t>
            </w:r>
          </w:p>
        </w:tc>
      </w:tr>
    </w:tbl>
    <w:p w14:paraId="5A8E808F">
      <w:pPr>
        <w:pStyle w:val="13"/>
        <w:ind w:firstLine="739" w:firstLineChars="231"/>
        <w:jc w:val="both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未完成指标</w:t>
      </w:r>
    </w:p>
    <w:tbl>
      <w:tblPr>
        <w:tblStyle w:val="8"/>
        <w:tblW w:w="8506" w:type="dxa"/>
        <w:tblInd w:w="-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2268"/>
        <w:gridCol w:w="3119"/>
      </w:tblGrid>
      <w:tr w14:paraId="3109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9" w:type="dxa"/>
            <w:shd w:val="clear" w:color="000000" w:fill="BFBFBF"/>
            <w:vAlign w:val="center"/>
          </w:tcPr>
          <w:p w14:paraId="0B8BE2EB"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指标名称</w:t>
            </w:r>
          </w:p>
        </w:tc>
        <w:tc>
          <w:tcPr>
            <w:tcW w:w="2268" w:type="dxa"/>
            <w:shd w:val="clear" w:color="000000" w:fill="BFBFBF"/>
          </w:tcPr>
          <w:p w14:paraId="23F705CE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实际值</w:t>
            </w:r>
          </w:p>
        </w:tc>
        <w:tc>
          <w:tcPr>
            <w:tcW w:w="3119" w:type="dxa"/>
            <w:shd w:val="clear" w:color="000000" w:fill="BFBFBF"/>
          </w:tcPr>
          <w:p w14:paraId="1D74B12B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2"/>
              </w:rPr>
              <w:t>偏差率</w:t>
            </w:r>
          </w:p>
        </w:tc>
      </w:tr>
      <w:tr w14:paraId="0CBF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119" w:type="dxa"/>
            <w:shd w:val="clear" w:color="auto" w:fill="auto"/>
            <w:vAlign w:val="center"/>
          </w:tcPr>
          <w:p w14:paraId="65B36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截至2023年底，投资完成比例（%）</w:t>
            </w:r>
          </w:p>
        </w:tc>
        <w:tc>
          <w:tcPr>
            <w:tcW w:w="2268" w:type="dxa"/>
            <w:vAlign w:val="center"/>
          </w:tcPr>
          <w:p w14:paraId="27D5C59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125.00%</w:t>
            </w:r>
          </w:p>
        </w:tc>
        <w:tc>
          <w:tcPr>
            <w:tcW w:w="3119" w:type="dxa"/>
            <w:vAlign w:val="center"/>
          </w:tcPr>
          <w:p w14:paraId="3808A10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-25%</w:t>
            </w:r>
          </w:p>
        </w:tc>
      </w:tr>
      <w:tr w14:paraId="7AF4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119" w:type="dxa"/>
            <w:shd w:val="clear" w:color="auto" w:fill="auto"/>
            <w:vAlign w:val="center"/>
          </w:tcPr>
          <w:p w14:paraId="39F06AC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受益群众满意度</w:t>
            </w:r>
          </w:p>
        </w:tc>
        <w:tc>
          <w:tcPr>
            <w:tcW w:w="2268" w:type="dxa"/>
            <w:vAlign w:val="center"/>
          </w:tcPr>
          <w:p w14:paraId="3DFC74F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111.11%</w:t>
            </w:r>
          </w:p>
        </w:tc>
        <w:tc>
          <w:tcPr>
            <w:tcW w:w="3119" w:type="dxa"/>
            <w:vAlign w:val="center"/>
          </w:tcPr>
          <w:p w14:paraId="7F0DF96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-11.11%</w:t>
            </w:r>
          </w:p>
        </w:tc>
      </w:tr>
    </w:tbl>
    <w:p w14:paraId="2BED06CD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1.项目数量指标</w:t>
      </w:r>
    </w:p>
    <w:p w14:paraId="6530592D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对双泉湖水库库区淤积物进行开挖清理，清淤量为2.9万m3。</w:t>
      </w:r>
    </w:p>
    <w:p w14:paraId="2D8140CD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2.项目成本指标</w:t>
      </w:r>
    </w:p>
    <w:p w14:paraId="7F44620A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项目严格按照批复的实施方案和初步设计进行工程建设，在实施中由监理对工程的进度、质量和投资进行控制，所有项目均无超出成本现象。各项目单价均控制在批复概算单价内。</w:t>
      </w:r>
    </w:p>
    <w:p w14:paraId="10A36411">
      <w:pPr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（四）效益指标完成情况分析</w:t>
      </w:r>
    </w:p>
    <w:p w14:paraId="52B79770">
      <w:pPr>
        <w:ind w:firstLine="640" w:firstLineChars="200"/>
        <w:jc w:val="left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1.项目实施的经济效益分析</w:t>
      </w:r>
    </w:p>
    <w:p w14:paraId="0649C6FF">
      <w:pPr>
        <w:ind w:firstLine="480"/>
        <w:rPr>
          <w:rFonts w:hint="eastAsia" w:ascii="宋体" w:hAnsi="宋体" w:cs="宋体"/>
        </w:rPr>
      </w:pPr>
      <w:r>
        <w:rPr>
          <w:rFonts w:hint="eastAsia" w:ascii="宋体" w:hAnsi="宋体"/>
        </w:rPr>
        <w:t>项目实施后，蓄水条件得到改善，可提高灌溉保证率，其灌溉效益显著。</w:t>
      </w:r>
    </w:p>
    <w:p w14:paraId="00C4F3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2.项目实施的社会效益分析</w:t>
      </w:r>
    </w:p>
    <w:p w14:paraId="690587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双泉湖水库是以灌溉为主的水库。本次对该水库进行维修养护，一方面增加了灌区的供水能力，缓解灌区灌溉供水紧张的局面，另一方面也保证了供水水源的水质，对调蓄、保证灌区洪水、改善水环境，完善水资源优化配置等方面都具有积极的作用。</w:t>
      </w:r>
    </w:p>
    <w:p w14:paraId="28AF04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3.项目实施的生态效益分析</w:t>
      </w:r>
    </w:p>
    <w:p w14:paraId="16F1CF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工程实施后，可有效改善灌区内灌溉用水，其生态效益较为显著，灌区内实行计划用水、节约用水，减少了水事纠纷发生，为灌区农业生产和农村生活创造了良好的社会环境。</w:t>
      </w:r>
    </w:p>
    <w:p w14:paraId="460809BC">
      <w:pPr>
        <w:pStyle w:val="3"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Times New Roman"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="Times New Roman"/>
          <w:bCs w:val="0"/>
          <w:color w:val="auto"/>
          <w:sz w:val="32"/>
          <w:szCs w:val="32"/>
        </w:rPr>
        <w:t>（五）满意度指标完成情况分析</w:t>
      </w:r>
    </w:p>
    <w:p w14:paraId="3D14AF3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临泽县小型水利建设项目双泉湖水库2023年维修养护工程</w:t>
      </w:r>
      <w:r>
        <w:rPr>
          <w:rFonts w:hint="eastAsia" w:ascii="仿宋_GB2312"/>
          <w:color w:val="auto"/>
          <w:sz w:val="32"/>
          <w:szCs w:val="32"/>
        </w:rPr>
        <w:t>发放调查问卷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 w:val="32"/>
          <w:szCs w:val="32"/>
        </w:rPr>
        <w:t>份，群众满意度100%。</w:t>
      </w:r>
    </w:p>
    <w:p w14:paraId="0D3407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Times New Roman"/>
          <w:b w:val="0"/>
          <w:bCs/>
          <w:kern w:val="0"/>
          <w:sz w:val="32"/>
          <w:szCs w:val="32"/>
          <w:lang w:val="en-US" w:eastAsia="zh-CN" w:bidi="ar-SA"/>
        </w:rPr>
      </w:pPr>
      <w:bookmarkStart w:id="0" w:name="_Toc398675340"/>
      <w:bookmarkStart w:id="1" w:name="_Toc488925447"/>
      <w:bookmarkStart w:id="2" w:name="_Toc490218269"/>
      <w:bookmarkStart w:id="3" w:name="_Toc517260675"/>
      <w:r>
        <w:rPr>
          <w:rFonts w:hint="eastAsia" w:ascii="黑体" w:hAnsi="黑体" w:eastAsia="黑体" w:cs="Times New Roman"/>
          <w:b w:val="0"/>
          <w:bCs/>
          <w:kern w:val="0"/>
          <w:sz w:val="32"/>
          <w:szCs w:val="32"/>
          <w:lang w:val="zh-CN" w:eastAsia="zh-CN" w:bidi="ar-SA"/>
        </w:rPr>
        <w:t>三、</w:t>
      </w:r>
      <w:bookmarkEnd w:id="0"/>
      <w:bookmarkEnd w:id="1"/>
      <w:bookmarkEnd w:id="2"/>
      <w:r>
        <w:rPr>
          <w:rFonts w:hint="eastAsia" w:ascii="黑体" w:hAnsi="黑体" w:eastAsia="黑体" w:cs="Times New Roman"/>
          <w:b w:val="0"/>
          <w:bCs/>
          <w:kern w:val="0"/>
          <w:sz w:val="32"/>
          <w:szCs w:val="32"/>
          <w:lang w:val="zh-CN" w:eastAsia="zh-CN" w:bidi="ar-SA"/>
        </w:rPr>
        <w:t>存在问题和改进措施建议</w:t>
      </w:r>
      <w:bookmarkEnd w:id="3"/>
    </w:p>
    <w:p w14:paraId="216D202E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643" w:firstLineChars="200"/>
        <w:textAlignment w:val="auto"/>
        <w:rPr>
          <w:rFonts w:hint="eastAsia" w:ascii="楷体" w:hAnsi="楷体" w:eastAsia="楷体" w:cs="Times New Roman"/>
          <w:b/>
          <w:bCs/>
          <w:color w:val="auto"/>
          <w:sz w:val="32"/>
          <w:lang w:val="en-US" w:eastAsia="zh-CN"/>
        </w:rPr>
      </w:pPr>
      <w:r>
        <w:rPr>
          <w:rFonts w:hint="eastAsia" w:ascii="楷体" w:hAnsi="楷体" w:eastAsia="楷体" w:cs="Times New Roman"/>
          <w:b/>
          <w:bCs/>
          <w:color w:val="auto"/>
          <w:sz w:val="32"/>
        </w:rPr>
        <w:t>（一）</w:t>
      </w:r>
      <w:r>
        <w:rPr>
          <w:rFonts w:hint="eastAsia" w:ascii="楷体" w:hAnsi="楷体" w:eastAsia="楷体" w:cs="Times New Roman"/>
          <w:b/>
          <w:bCs/>
          <w:color w:val="auto"/>
          <w:sz w:val="32"/>
          <w:lang w:val="en-US" w:eastAsia="zh-CN"/>
        </w:rPr>
        <w:t>存在问题</w:t>
      </w:r>
    </w:p>
    <w:p w14:paraId="6FE6EB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无</w:t>
      </w:r>
    </w:p>
    <w:p w14:paraId="50BCAC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楷体" w:hAnsi="楷体" w:eastAsia="楷体" w:cs="Times New Roman"/>
          <w:b/>
          <w:bCs/>
          <w:color w:val="auto"/>
          <w:sz w:val="32"/>
          <w:lang w:eastAsia="zh-CN"/>
        </w:rPr>
      </w:pPr>
      <w:r>
        <w:rPr>
          <w:rFonts w:hint="eastAsia" w:ascii="楷体" w:hAnsi="楷体" w:eastAsia="楷体" w:cs="Times New Roman"/>
          <w:b/>
          <w:bCs/>
          <w:color w:val="auto"/>
          <w:sz w:val="32"/>
        </w:rPr>
        <w:t>（</w:t>
      </w:r>
      <w:r>
        <w:rPr>
          <w:rFonts w:hint="eastAsia" w:ascii="楷体" w:hAnsi="楷体" w:eastAsia="楷体" w:cs="Times New Roman"/>
          <w:b/>
          <w:bCs/>
          <w:color w:val="auto"/>
          <w:sz w:val="32"/>
          <w:lang w:val="en-US" w:eastAsia="zh-CN"/>
        </w:rPr>
        <w:t>二</w:t>
      </w:r>
      <w:r>
        <w:rPr>
          <w:rFonts w:hint="eastAsia" w:ascii="楷体" w:hAnsi="楷体" w:eastAsia="楷体" w:cs="Times New Roman"/>
          <w:b/>
          <w:bCs/>
          <w:color w:val="auto"/>
          <w:sz w:val="32"/>
        </w:rPr>
        <w:t>）</w:t>
      </w:r>
      <w:r>
        <w:rPr>
          <w:rFonts w:hint="eastAsia" w:ascii="楷体" w:hAnsi="楷体" w:eastAsia="楷体" w:cs="Times New Roman"/>
          <w:b/>
          <w:bCs/>
          <w:color w:val="auto"/>
          <w:sz w:val="32"/>
          <w:lang w:val="en-US" w:eastAsia="zh-CN"/>
        </w:rPr>
        <w:t>有关建议</w:t>
      </w:r>
    </w:p>
    <w:p w14:paraId="2F54A9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1.严格落实项目责任主体负责制、招投标制、监理制、合同管理制、公示制和验收制等，克服困难，加快工程整体进度。</w:t>
      </w:r>
    </w:p>
    <w:p w14:paraId="64175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2.健全体制机制，加强项目建设管理和计划执行调度。弥补项目设施维护管理上的漏洞，加强水利工程建成后的管理，进一步提高项目设施防灾减灾能力。</w:t>
      </w:r>
    </w:p>
    <w:p w14:paraId="020D50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3.完善水利工程建设质量监督制度，加强各方面审计监督力度，严格执行财务制度，增强廉政风险防控，确保各项治理措施按序时进度推进、生产安全和保质保量完成各项工程建设任务。 </w:t>
      </w:r>
    </w:p>
    <w:p w14:paraId="54E09F3E">
      <w:pPr>
        <w:keepNext w:val="0"/>
        <w:keepLines w:val="0"/>
        <w:widowControl/>
        <w:suppressLineNumbers w:val="0"/>
        <w:jc w:val="left"/>
      </w:pPr>
    </w:p>
    <w:p w14:paraId="18A394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</w:p>
    <w:p w14:paraId="27BEA9A5">
      <w:pPr>
        <w:ind w:firstLine="640"/>
        <w:rPr>
          <w:rFonts w:hint="default"/>
          <w:lang w:val="en-US" w:eastAsia="zh-CN"/>
        </w:rPr>
      </w:pPr>
    </w:p>
    <w:sectPr>
      <w:pgSz w:w="11906" w:h="16838"/>
      <w:pgMar w:top="1723" w:right="1633" w:bottom="1440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8FA70"/>
    <w:multiLevelType w:val="singleLevel"/>
    <w:tmpl w:val="B648FA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DFCF82"/>
    <w:multiLevelType w:val="multilevel"/>
    <w:tmpl w:val="FFDFCF82"/>
    <w:lvl w:ilvl="0" w:tentative="0">
      <w:start w:val="1"/>
      <w:numFmt w:val="decimal"/>
      <w:pStyle w:val="2"/>
      <w:suff w:val="space"/>
      <w:lvlText w:val="%1"/>
      <w:lvlJc w:val="left"/>
      <w:pPr>
        <w:ind w:left="3963" w:hanging="420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eastAsia"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0" w:firstLine="0"/>
      </w:pPr>
      <w:rPr>
        <w:rFonts w:hint="eastAsia"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lvlText w:val="%1.%2.%3.%4.%5"/>
      <w:lvlJc w:val="left"/>
      <w:pPr>
        <w:tabs>
          <w:tab w:val="left" w:pos="282"/>
        </w:tabs>
        <w:ind w:left="-2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282"/>
        </w:tabs>
        <w:ind w:left="-2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282"/>
        </w:tabs>
        <w:ind w:left="-2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82"/>
        </w:tabs>
        <w:ind w:left="-2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82"/>
        </w:tabs>
        <w:ind w:left="-2" w:firstLine="0"/>
      </w:pPr>
      <w:rPr>
        <w:rFonts w:hint="eastAsia"/>
      </w:rPr>
    </w:lvl>
  </w:abstractNum>
  <w:abstractNum w:abstractNumId="2">
    <w:nsid w:val="4E4C4F25"/>
    <w:multiLevelType w:val="singleLevel"/>
    <w:tmpl w:val="4E4C4F25"/>
    <w:lvl w:ilvl="0" w:tentative="0">
      <w:start w:val="1"/>
      <w:numFmt w:val="chineseCounting"/>
      <w:suff w:val="nothing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ZDg1NTNlMTkwYThiYzdlMjUyMzQ3NzhiNzJkMDIifQ=="/>
  </w:docVars>
  <w:rsids>
    <w:rsidRoot w:val="1A070929"/>
    <w:rsid w:val="05C005C6"/>
    <w:rsid w:val="15F96A0E"/>
    <w:rsid w:val="19AB3208"/>
    <w:rsid w:val="1A070929"/>
    <w:rsid w:val="1DE1625F"/>
    <w:rsid w:val="27D73B2E"/>
    <w:rsid w:val="28206AF8"/>
    <w:rsid w:val="2D397142"/>
    <w:rsid w:val="30DA4D9A"/>
    <w:rsid w:val="35022B27"/>
    <w:rsid w:val="451F2AB0"/>
    <w:rsid w:val="463D71C5"/>
    <w:rsid w:val="46445615"/>
    <w:rsid w:val="484C6A03"/>
    <w:rsid w:val="488D37B7"/>
    <w:rsid w:val="52707792"/>
    <w:rsid w:val="5E430AA6"/>
    <w:rsid w:val="5ED2769F"/>
    <w:rsid w:val="6556551A"/>
    <w:rsid w:val="6B1F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numPr>
        <w:ilvl w:val="0"/>
        <w:numId w:val="1"/>
      </w:numPr>
      <w:spacing w:before="50" w:beforeLines="50" w:after="50" w:afterLines="50"/>
      <w:ind w:left="0" w:firstLine="0" w:firstLineChars="0"/>
      <w:jc w:val="center"/>
      <w:outlineLvl w:val="0"/>
    </w:pPr>
    <w:rPr>
      <w:rFonts w:ascii="Times New Roman" w:hAnsi="Times New Roman" w:eastAsia="方正小标宋简体" w:cs="宋体"/>
      <w:bCs/>
      <w:sz w:val="32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600" w:lineRule="exact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spacing w:line="580" w:lineRule="exact"/>
      <w:ind w:firstLine="420" w:firstLineChars="200"/>
    </w:pPr>
    <w:rPr>
      <w:rFonts w:eastAsia="仿宋_GB2312" w:cs="Times New Roman"/>
      <w:sz w:val="32"/>
    </w:rPr>
  </w:style>
  <w:style w:type="paragraph" w:styleId="7">
    <w:name w:val="Body Text"/>
    <w:basedOn w:val="1"/>
    <w:next w:val="6"/>
    <w:autoRedefine/>
    <w:qFormat/>
    <w:uiPriority w:val="0"/>
    <w:pPr>
      <w:spacing w:after="120"/>
    </w:pPr>
    <w:rPr>
      <w:rFonts w:ascii="Times New Roman" w:hAnsi="Times New Roman" w:eastAsia="仿宋_GB2312"/>
      <w:sz w:val="32"/>
    </w:rPr>
  </w:style>
  <w:style w:type="paragraph" w:customStyle="1" w:styleId="10">
    <w:name w:val="闻政标题3"/>
    <w:basedOn w:val="4"/>
    <w:autoRedefine/>
    <w:qFormat/>
    <w:uiPriority w:val="0"/>
    <w:pPr>
      <w:spacing w:before="120" w:after="60" w:line="500" w:lineRule="exact"/>
      <w:jc w:val="left"/>
      <w:outlineLvl w:val="0"/>
    </w:pPr>
    <w:rPr>
      <w:rFonts w:ascii="黑体" w:hAnsi="黑体" w:eastAsia="黑体"/>
      <w:b w:val="0"/>
    </w:rPr>
  </w:style>
  <w:style w:type="paragraph" w:customStyle="1" w:styleId="11">
    <w:name w:val="闻政标题4"/>
    <w:basedOn w:val="3"/>
    <w:autoRedefine/>
    <w:qFormat/>
    <w:uiPriority w:val="0"/>
    <w:pPr>
      <w:spacing w:before="120" w:after="60" w:line="500" w:lineRule="exact"/>
      <w:ind w:firstLine="200" w:firstLineChars="200"/>
      <w:jc w:val="left"/>
    </w:pPr>
    <w:rPr>
      <w:rFonts w:ascii="Times New Roman" w:hAnsi="Times New Roman" w:eastAsia="仿宋_GB2312"/>
      <w:sz w:val="28"/>
    </w:rPr>
  </w:style>
  <w:style w:type="paragraph" w:customStyle="1" w:styleId="12">
    <w:name w:val="闻政正文"/>
    <w:basedOn w:val="1"/>
    <w:autoRedefine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  <w:lang w:val="zh-CN"/>
    </w:rPr>
  </w:style>
  <w:style w:type="paragraph" w:customStyle="1" w:styleId="13">
    <w:name w:val="闻政表"/>
    <w:basedOn w:val="1"/>
    <w:autoRedefine/>
    <w:qFormat/>
    <w:uiPriority w:val="0"/>
    <w:pPr>
      <w:spacing w:before="60" w:after="60"/>
      <w:jc w:val="center"/>
    </w:pPr>
    <w:rPr>
      <w:rFonts w:eastAsia="仿宋_GB2312"/>
      <w:b/>
      <w:kern w:val="0"/>
      <w:sz w:val="24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2583</Words>
  <Characters>2778</Characters>
  <Lines>0</Lines>
  <Paragraphs>0</Paragraphs>
  <TotalTime>1</TotalTime>
  <ScaleCrop>false</ScaleCrop>
  <LinksUpToDate>false</LinksUpToDate>
  <CharactersWithSpaces>2779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2023-12-28T08:28:00Z</dcterms:created>
  <dc:creator>℡ Tearing</dc:creator>
  <cp:lastModifiedBy>心飞扬</cp:lastModifiedBy>
  <dcterms:modified xsi:type="dcterms:W3CDTF">2024-09-20T07:46:51Z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74D8A47613A749958D36382276A996E0_11</vt:lpwstr>
  </property>
</Properties>
</file>