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ACAB0">
      <w:pPr>
        <w:spacing w:before="120" w:after="120" w:line="480" w:lineRule="auto"/>
        <w:jc w:val="center"/>
        <w:rPr>
          <w:rFonts w:ascii="黑体" w:hAnsi="黑体" w:eastAsia="黑体"/>
          <w:b/>
          <w:sz w:val="32"/>
          <w:szCs w:val="32"/>
        </w:rPr>
      </w:pPr>
      <w:r>
        <w:rPr>
          <w:rFonts w:hint="eastAsia" w:ascii="黑体" w:hAnsi="黑体" w:eastAsia="黑体"/>
          <w:b/>
          <w:sz w:val="32"/>
          <w:szCs w:val="32"/>
        </w:rPr>
        <w:t>财政项目支出绩效自评价报告</w:t>
      </w:r>
    </w:p>
    <w:p w14:paraId="29F6B672">
      <w:pPr>
        <w:spacing w:line="480" w:lineRule="auto"/>
        <w:jc w:val="center"/>
        <w:rPr>
          <w:rFonts w:eastAsia="黑体"/>
          <w:b/>
          <w:kern w:val="0"/>
          <w:sz w:val="50"/>
          <w:szCs w:val="50"/>
          <w:lang w:bidi="en-US"/>
        </w:rPr>
      </w:pPr>
    </w:p>
    <w:p w14:paraId="2C1DA342">
      <w:pPr>
        <w:spacing w:line="480" w:lineRule="auto"/>
        <w:jc w:val="center"/>
        <w:rPr>
          <w:rFonts w:hint="eastAsia" w:ascii="仿宋_GB2312" w:hAnsi="Times New Roman" w:eastAsia="仿宋_GB2312" w:cs="Times New Roman"/>
          <w:b w:val="0"/>
          <w:bCs w:val="0"/>
          <w:kern w:val="2"/>
          <w:sz w:val="32"/>
          <w:szCs w:val="32"/>
          <w:lang w:val="en-US" w:eastAsia="zh-CN" w:bidi="ar-SA"/>
        </w:rPr>
      </w:pPr>
    </w:p>
    <w:p w14:paraId="510A8F2F">
      <w:pPr>
        <w:spacing w:line="480" w:lineRule="auto"/>
        <w:jc w:val="center"/>
        <w:rPr>
          <w:rFonts w:eastAsia="黑体"/>
          <w:b/>
          <w:kern w:val="0"/>
          <w:sz w:val="50"/>
          <w:szCs w:val="50"/>
          <w:lang w:bidi="en-US"/>
        </w:rPr>
      </w:pPr>
    </w:p>
    <w:p w14:paraId="07B35EBD">
      <w:pPr>
        <w:spacing w:line="480" w:lineRule="auto"/>
        <w:jc w:val="center"/>
        <w:rPr>
          <w:rFonts w:eastAsia="黑体"/>
          <w:b/>
          <w:kern w:val="0"/>
          <w:sz w:val="50"/>
          <w:szCs w:val="50"/>
          <w:lang w:bidi="en-US"/>
        </w:rPr>
      </w:pPr>
    </w:p>
    <w:p w14:paraId="5D4281E6">
      <w:pPr>
        <w:spacing w:line="480" w:lineRule="auto"/>
        <w:jc w:val="center"/>
        <w:rPr>
          <w:rFonts w:eastAsia="黑体"/>
          <w:b/>
          <w:kern w:val="0"/>
          <w:sz w:val="50"/>
          <w:szCs w:val="50"/>
          <w:lang w:bidi="en-US"/>
        </w:rPr>
      </w:pPr>
    </w:p>
    <w:p w14:paraId="50B648D4">
      <w:pPr>
        <w:spacing w:line="480" w:lineRule="auto"/>
        <w:jc w:val="center"/>
        <w:rPr>
          <w:rFonts w:eastAsia="黑体"/>
          <w:b/>
          <w:kern w:val="0"/>
          <w:sz w:val="50"/>
          <w:szCs w:val="50"/>
          <w:lang w:bidi="en-US"/>
        </w:rPr>
      </w:pPr>
    </w:p>
    <w:p w14:paraId="738393D4">
      <w:pPr>
        <w:spacing w:line="480" w:lineRule="auto"/>
        <w:jc w:val="center"/>
        <w:rPr>
          <w:rFonts w:ascii="仿宋_GB2312"/>
          <w:kern w:val="0"/>
          <w:sz w:val="30"/>
          <w:szCs w:val="30"/>
          <w:lang w:bidi="en-US"/>
        </w:rPr>
      </w:pPr>
    </w:p>
    <w:p w14:paraId="3669A46F">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项目名称：</w:t>
      </w:r>
      <w:r>
        <w:rPr>
          <w:rFonts w:ascii="黑体" w:hAnsi="黑体" w:eastAsia="黑体" w:cs="黑体"/>
          <w:color w:val="auto"/>
          <w:sz w:val="28"/>
          <w:u w:val="none"/>
        </w:rPr>
        <w:t>2023年鸭暖灌区地表水管理自动化平台建设项目</w:t>
      </w:r>
      <w:r>
        <w:rPr>
          <w:rFonts w:ascii="黑体" w:hAnsi="黑体" w:eastAsia="黑体"/>
          <w:kern w:val="0"/>
          <w:sz w:val="28"/>
          <w:szCs w:val="28"/>
          <w:lang w:bidi="en-US"/>
        </w:rPr>
        <w:fldChar w:fldCharType="begin"/>
      </w:r>
      <w:r>
        <w:rPr>
          <w:rFonts w:hint="eastAsia" w:ascii="黑体" w:hAnsi="黑体" w:eastAsia="黑体"/>
          <w:kern w:val="0"/>
          <w:sz w:val="28"/>
          <w:szCs w:val="28"/>
          <w:lang w:bidi="en-US"/>
        </w:rPr>
        <w:instrText xml:space="preserve">MERGEFIELD  projectName  \* MERGEFORMAT</w:instrText>
      </w:r>
      <w:r>
        <w:rPr>
          <w:rFonts w:ascii="黑体" w:hAnsi="黑体" w:eastAsia="黑体"/>
          <w:kern w:val="0"/>
          <w:sz w:val="28"/>
          <w:szCs w:val="28"/>
          <w:lang w:bidi="en-US"/>
        </w:rPr>
        <w:fldChar w:fldCharType="end"/>
      </w:r>
    </w:p>
    <w:p w14:paraId="4B1E2022">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项目单位：</w:t>
      </w:r>
      <w:r>
        <w:rPr>
          <w:rFonts w:ascii="黑体" w:hAnsi="黑体" w:eastAsia="黑体" w:cs="黑体"/>
          <w:color w:val="auto"/>
          <w:sz w:val="28"/>
          <w:u w:val="none"/>
        </w:rPr>
        <w:t>临泽县水务局</w:t>
      </w:r>
    </w:p>
    <w:p w14:paraId="40098D79">
      <w:pPr>
        <w:adjustRightInd w:val="0"/>
        <w:snapToGrid w:val="0"/>
        <w:spacing w:before="120" w:line="480" w:lineRule="auto"/>
        <w:ind w:firstLine="1400" w:firstLineChars="500"/>
        <w:jc w:val="left"/>
      </w:pPr>
      <w:r>
        <w:rPr>
          <w:rFonts w:hint="eastAsia" w:ascii="黑体" w:hAnsi="黑体" w:eastAsia="黑体"/>
          <w:kern w:val="0"/>
          <w:sz w:val="28"/>
          <w:szCs w:val="28"/>
          <w:lang w:bidi="en-US"/>
        </w:rPr>
        <w:t>主管部门：</w:t>
      </w:r>
      <w:r>
        <w:rPr>
          <w:rFonts w:ascii="黑体" w:hAnsi="黑体" w:eastAsia="黑体" w:cs="黑体"/>
          <w:color w:val="auto"/>
          <w:sz w:val="28"/>
          <w:u w:val="none"/>
        </w:rPr>
        <w:t>临泽县水务局</w:t>
      </w:r>
    </w:p>
    <w:p w14:paraId="3B83DE53">
      <w:pPr>
        <w:adjustRightInd w:val="0"/>
        <w:snapToGrid w:val="0"/>
        <w:spacing w:before="120"/>
        <w:jc w:val="center"/>
        <w:rPr>
          <w:rFonts w:hint="eastAsia" w:ascii="黑体" w:hAnsi="黑体" w:eastAsia="黑体"/>
          <w:kern w:val="0"/>
          <w:sz w:val="28"/>
          <w:szCs w:val="28"/>
          <w:lang w:bidi="en-US"/>
        </w:rPr>
      </w:pPr>
    </w:p>
    <w:p w14:paraId="0DC5C0DE">
      <w:pPr>
        <w:adjustRightInd w:val="0"/>
        <w:snapToGrid w:val="0"/>
        <w:spacing w:before="120"/>
        <w:jc w:val="center"/>
        <w:rPr>
          <w:rFonts w:hint="eastAsia" w:ascii="黑体" w:hAnsi="黑体" w:eastAsia="黑体"/>
          <w:kern w:val="0"/>
          <w:sz w:val="28"/>
          <w:szCs w:val="28"/>
          <w:lang w:bidi="en-US"/>
        </w:rPr>
      </w:pPr>
    </w:p>
    <w:p w14:paraId="7266948E">
      <w:pPr>
        <w:adjustRightInd w:val="0"/>
        <w:snapToGrid w:val="0"/>
        <w:spacing w:before="120"/>
        <w:jc w:val="center"/>
        <w:rPr>
          <w:rFonts w:hint="eastAsia" w:ascii="黑体" w:hAnsi="黑体" w:eastAsia="黑体"/>
          <w:kern w:val="0"/>
          <w:sz w:val="28"/>
          <w:szCs w:val="28"/>
          <w:lang w:bidi="en-US"/>
        </w:rPr>
      </w:pPr>
    </w:p>
    <w:p w14:paraId="4A180326">
      <w:pPr>
        <w:adjustRightInd w:val="0"/>
        <w:snapToGrid w:val="0"/>
        <w:spacing w:before="120"/>
        <w:jc w:val="center"/>
        <w:rPr>
          <w:rFonts w:hint="eastAsia" w:ascii="黑体" w:hAnsi="黑体" w:eastAsia="黑体"/>
          <w:kern w:val="0"/>
          <w:sz w:val="28"/>
          <w:szCs w:val="28"/>
          <w:lang w:bidi="en-US"/>
        </w:rPr>
      </w:pPr>
    </w:p>
    <w:p w14:paraId="30A640B0">
      <w:pPr>
        <w:adjustRightInd w:val="0"/>
        <w:snapToGrid w:val="0"/>
        <w:spacing w:before="120"/>
        <w:jc w:val="center"/>
        <w:rPr>
          <w:rFonts w:hint="eastAsia" w:ascii="黑体" w:hAnsi="黑体" w:eastAsia="黑体"/>
          <w:kern w:val="0"/>
          <w:sz w:val="28"/>
          <w:szCs w:val="28"/>
          <w:lang w:bidi="en-US"/>
        </w:rPr>
      </w:pPr>
    </w:p>
    <w:p w14:paraId="39073D7E">
      <w:pPr>
        <w:adjustRightInd w:val="0"/>
        <w:snapToGrid w:val="0"/>
        <w:spacing w:before="120"/>
        <w:jc w:val="center"/>
        <w:rPr>
          <w:rFonts w:hint="eastAsia" w:ascii="黑体" w:hAnsi="黑体" w:eastAsia="黑体"/>
          <w:kern w:val="0"/>
          <w:sz w:val="28"/>
          <w:szCs w:val="28"/>
          <w:lang w:bidi="en-US"/>
        </w:rPr>
      </w:pPr>
    </w:p>
    <w:p w14:paraId="6A1CB9D3">
      <w:pPr>
        <w:adjustRightInd w:val="0"/>
        <w:snapToGrid w:val="0"/>
        <w:spacing w:before="120"/>
        <w:jc w:val="center"/>
        <w:rPr>
          <w:rFonts w:ascii="黑体" w:hAnsi="黑体" w:eastAsia="黑体"/>
          <w:kern w:val="0"/>
          <w:sz w:val="28"/>
          <w:szCs w:val="28"/>
          <w:lang w:bidi="en-US"/>
        </w:rPr>
      </w:pPr>
      <w:r>
        <w:rPr>
          <w:rFonts w:hint="eastAsia" w:ascii="黑体" w:hAnsi="黑体" w:eastAsia="黑体"/>
          <w:kern w:val="0"/>
          <w:sz w:val="28"/>
          <w:szCs w:val="28"/>
          <w:lang w:bidi="en-US"/>
        </w:rPr>
        <w:t>2024年</w:t>
      </w:r>
      <w:r>
        <w:rPr>
          <w:rFonts w:ascii="黑体" w:hAnsi="黑体" w:eastAsia="黑体"/>
          <w:kern w:val="0"/>
          <w:sz w:val="28"/>
          <w:szCs w:val="28"/>
          <w:lang w:bidi="en-US"/>
        </w:rPr>
        <w:t>1</w:t>
      </w:r>
      <w:r>
        <w:rPr>
          <w:rFonts w:ascii="黑体" w:hAnsi="黑体" w:eastAsia="黑体" w:cs="黑体"/>
          <w:color w:val="auto"/>
          <w:sz w:val="28"/>
          <w:u w:val="none"/>
        </w:rPr>
        <w:t>月</w:t>
      </w:r>
    </w:p>
    <w:p w14:paraId="4A9E6508">
      <w:pPr>
        <w:widowControl/>
        <w:jc w:val="left"/>
      </w:pPr>
    </w:p>
    <w:p w14:paraId="0CC6BDC9">
      <w:pPr>
        <w:adjustRightInd w:val="0"/>
        <w:snapToGrid w:val="0"/>
        <w:spacing w:before="480" w:after="360"/>
        <w:jc w:val="center"/>
        <w:rPr>
          <w:rStyle w:val="17"/>
          <w:rFonts w:ascii="黑体" w:hAnsi="黑体" w:eastAsia="黑体"/>
          <w:color w:val="000000"/>
          <w:sz w:val="32"/>
          <w:szCs w:val="32"/>
        </w:rPr>
      </w:pPr>
      <w:r>
        <w:rPr>
          <w:rStyle w:val="17"/>
          <w:rFonts w:hint="eastAsia" w:ascii="黑体" w:hAnsi="黑体" w:eastAsia="黑体"/>
          <w:color w:val="000000"/>
          <w:sz w:val="32"/>
          <w:szCs w:val="32"/>
        </w:rPr>
        <w:t>摘要</w:t>
      </w:r>
    </w:p>
    <w:p w14:paraId="3829B694">
      <w:pPr>
        <w:widowControl/>
        <w:jc w:val="left"/>
        <w:rPr>
          <w:rStyle w:val="17"/>
          <w:rFonts w:ascii="黑体" w:hAnsi="黑体" w:eastAsia="黑体"/>
          <w:color w:val="000000"/>
          <w:sz w:val="32"/>
          <w:szCs w:val="32"/>
        </w:rPr>
      </w:pPr>
      <w:r>
        <w:rPr>
          <w:rStyle w:val="17"/>
          <w:rFonts w:ascii="黑体" w:hAnsi="黑体" w:eastAsia="黑体"/>
          <w:color w:val="000000"/>
          <w:sz w:val="32"/>
          <w:szCs w:val="32"/>
        </w:rPr>
        <w:br w:type="page"/>
      </w:r>
    </w:p>
    <w:p w14:paraId="15C51736">
      <w:pPr>
        <w:pStyle w:val="2"/>
        <w:numPr>
          <w:ilvl w:val="0"/>
          <w:numId w:val="0"/>
        </w:numPr>
        <w:bidi w:val="0"/>
        <w:ind w:leftChars="0" w:firstLine="1800" w:firstLineChars="500"/>
        <w:jc w:val="both"/>
        <w:rPr>
          <w:rFonts w:hint="eastAsia"/>
          <w:sz w:val="36"/>
          <w:szCs w:val="36"/>
          <w:lang w:val="en-US" w:eastAsia="zh-CN"/>
        </w:rPr>
      </w:pPr>
      <w:r>
        <w:rPr>
          <w:rFonts w:hint="eastAsia"/>
          <w:sz w:val="36"/>
          <w:szCs w:val="36"/>
          <w:lang w:val="en-US" w:eastAsia="zh-CN"/>
        </w:rPr>
        <w:t>财政项目支出绩效自评价报告</w:t>
      </w:r>
    </w:p>
    <w:p w14:paraId="4ECB95DF">
      <w:pPr>
        <w:jc w:val="center"/>
        <w:rPr>
          <w:rFonts w:hint="eastAsia" w:ascii="楷体_GB2312" w:hAnsi="楷体_GB2312" w:eastAsia="楷体_GB2312" w:cs="楷体_GB2312"/>
          <w:spacing w:val="-11"/>
          <w:w w:val="90"/>
          <w:sz w:val="36"/>
          <w:szCs w:val="36"/>
          <w:lang w:val="en-US" w:eastAsia="zh-CN"/>
        </w:rPr>
      </w:pPr>
      <w:r>
        <w:rPr>
          <w:rFonts w:hint="eastAsia" w:ascii="楷体_GB2312" w:hAnsi="楷体_GB2312" w:eastAsia="楷体_GB2312" w:cs="楷体_GB2312"/>
          <w:spacing w:val="-11"/>
          <w:w w:val="90"/>
          <w:sz w:val="36"/>
          <w:szCs w:val="36"/>
          <w:lang w:val="en-US" w:eastAsia="zh-CN"/>
        </w:rPr>
        <w:t>临泽县小型水利建设项目</w:t>
      </w:r>
    </w:p>
    <w:p w14:paraId="51116B97">
      <w:pPr>
        <w:jc w:val="center"/>
        <w:rPr>
          <w:rFonts w:hint="default"/>
          <w:lang w:val="en-US" w:eastAsia="zh-CN"/>
        </w:rPr>
      </w:pPr>
      <w:r>
        <w:rPr>
          <w:rFonts w:hint="eastAsia" w:ascii="楷体_GB2312" w:hAnsi="楷体_GB2312" w:eastAsia="楷体_GB2312" w:cs="楷体_GB2312"/>
          <w:spacing w:val="-11"/>
          <w:w w:val="90"/>
          <w:sz w:val="36"/>
          <w:szCs w:val="36"/>
          <w:lang w:val="en-US" w:eastAsia="zh-CN"/>
        </w:rPr>
        <w:t>2023年鸭暖灌区地表水管理自动化平台建设项目</w:t>
      </w:r>
    </w:p>
    <w:p w14:paraId="1C238C4A">
      <w:pPr>
        <w:numPr>
          <w:ilvl w:val="0"/>
          <w:numId w:val="2"/>
        </w:numPr>
        <w:ind w:firstLine="640" w:firstLineChars="200"/>
        <w:jc w:val="both"/>
        <w:rPr>
          <w:rFonts w:hint="eastAsia" w:ascii="黑体" w:hAnsi="黑体" w:eastAsia="黑体" w:cs="黑体"/>
          <w:lang w:val="en-US" w:eastAsia="zh-CN"/>
        </w:rPr>
      </w:pPr>
      <w:r>
        <w:rPr>
          <w:rFonts w:hint="eastAsia" w:ascii="黑体" w:hAnsi="黑体" w:eastAsia="黑体" w:cs="黑体"/>
          <w:lang w:val="en-US" w:eastAsia="zh-CN"/>
        </w:rPr>
        <w:t>项目基本情况</w:t>
      </w:r>
    </w:p>
    <w:p w14:paraId="437C689A">
      <w:pPr>
        <w:numPr>
          <w:ilvl w:val="0"/>
          <w:numId w:val="3"/>
        </w:numPr>
        <w:ind w:left="640" w:leftChars="0" w:firstLine="0" w:firstLineChars="0"/>
        <w:jc w:val="both"/>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项目情况</w:t>
      </w:r>
    </w:p>
    <w:p w14:paraId="73BBFCD6">
      <w:pPr>
        <w:numPr>
          <w:ilvl w:val="0"/>
          <w:numId w:val="0"/>
        </w:numPr>
        <w:ind w:firstLine="640"/>
        <w:jc w:val="both"/>
        <w:rPr>
          <w:rFonts w:hint="eastAsia"/>
          <w:lang w:val="en-US" w:eastAsia="zh-CN"/>
        </w:rPr>
      </w:pPr>
      <w:r>
        <w:rPr>
          <w:rFonts w:hint="eastAsia" w:ascii="仿宋_GB2312" w:hAnsi="Times New Roman" w:eastAsia="仿宋_GB2312" w:cs="Times New Roman"/>
          <w:b w:val="0"/>
          <w:bCs w:val="0"/>
          <w:kern w:val="2"/>
          <w:sz w:val="32"/>
          <w:szCs w:val="32"/>
          <w:lang w:val="en-US" w:eastAsia="zh-CN" w:bidi="ar-SA"/>
        </w:rPr>
        <w:t>鸭暖灌区地表水管理自动化平台建设项目本着提高灌区供水服务的安全性、公平性、可靠性和灵活性，落实“以人为本”和“服务为民”的灌区建设与管理的根本宗旨</w:t>
      </w:r>
      <w:r>
        <w:rPr>
          <w:rFonts w:hint="eastAsia" w:ascii="仿宋_GB2312" w:hAnsi="Times New Roman"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节</w:t>
      </w:r>
      <w:r>
        <w:rPr>
          <w:rFonts w:hint="eastAsia"/>
          <w:lang w:val="en-US" w:eastAsia="zh-CN"/>
        </w:rPr>
        <w:t>水办委托张掖市甘兰水利水电建筑设计院经过详细的踏勘，编制了《临泽县小型水利建设项目2023年鸭暖灌区地表水管理自动化平台建设项目初步设计报告》。</w:t>
      </w:r>
    </w:p>
    <w:p w14:paraId="7E8416C1">
      <w:pPr>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outlineLvl w:val="0"/>
        <w:rPr>
          <w:rFonts w:hint="eastAsia" w:ascii="仿宋_GB2312" w:hAnsi="Times New Roman" w:eastAsia="仿宋_GB2312" w:cs="Times New Roman"/>
          <w:b w:val="0"/>
          <w:bCs w:val="0"/>
          <w:kern w:val="2"/>
          <w:sz w:val="32"/>
          <w:szCs w:val="32"/>
          <w:lang w:val="en-US" w:eastAsia="zh-CN" w:bidi="ar-SA"/>
        </w:rPr>
      </w:pPr>
      <w:r>
        <w:rPr>
          <w:rFonts w:hint="eastAsia"/>
          <w:lang w:val="en-US" w:eastAsia="zh-CN"/>
        </w:rPr>
        <w:t>2023年5月25日，</w:t>
      </w:r>
      <w:r>
        <w:rPr>
          <w:rFonts w:hint="eastAsia" w:ascii="仿宋_GB2312" w:hAnsi="Times New Roman" w:cs="Times New Roman"/>
          <w:b w:val="0"/>
          <w:bCs w:val="0"/>
          <w:kern w:val="2"/>
          <w:sz w:val="32"/>
          <w:szCs w:val="32"/>
          <w:lang w:val="en-US" w:eastAsia="zh-CN" w:bidi="ar-SA"/>
        </w:rPr>
        <w:t>临泽县水务</w:t>
      </w:r>
      <w:r>
        <w:rPr>
          <w:rFonts w:hint="eastAsia" w:ascii="仿宋_GB2312" w:hAnsi="Times New Roman" w:eastAsia="仿宋_GB2312" w:cs="Times New Roman"/>
          <w:b w:val="0"/>
          <w:bCs w:val="0"/>
          <w:kern w:val="2"/>
          <w:sz w:val="32"/>
          <w:szCs w:val="32"/>
          <w:lang w:val="en-US" w:eastAsia="zh-CN" w:bidi="ar-SA"/>
        </w:rPr>
        <w:t>局以临水建字〔202</w:t>
      </w:r>
      <w:r>
        <w:rPr>
          <w:rFonts w:hint="eastAsia" w:ascii="仿宋_GB2312" w:hAnsi="Times New Roman" w:cs="Times New Roman"/>
          <w:b w:val="0"/>
          <w:bCs w:val="0"/>
          <w:kern w:val="2"/>
          <w:sz w:val="32"/>
          <w:szCs w:val="32"/>
          <w:lang w:val="en-US" w:eastAsia="zh-CN" w:bidi="ar-SA"/>
        </w:rPr>
        <w:t>3</w:t>
      </w:r>
      <w:r>
        <w:rPr>
          <w:rFonts w:hint="eastAsia" w:ascii="仿宋_GB2312" w:hAnsi="Times New Roman" w:eastAsia="仿宋_GB2312" w:cs="Times New Roman"/>
          <w:b w:val="0"/>
          <w:bCs w:val="0"/>
          <w:kern w:val="2"/>
          <w:sz w:val="32"/>
          <w:szCs w:val="32"/>
          <w:lang w:val="en-US" w:eastAsia="zh-CN" w:bidi="ar-SA"/>
        </w:rPr>
        <w:t>〕</w:t>
      </w:r>
      <w:r>
        <w:rPr>
          <w:rFonts w:hint="eastAsia" w:ascii="仿宋_GB2312" w:cs="Times New Roman"/>
          <w:b w:val="0"/>
          <w:bCs w:val="0"/>
          <w:kern w:val="2"/>
          <w:sz w:val="32"/>
          <w:szCs w:val="32"/>
          <w:lang w:val="en-US" w:eastAsia="zh-CN" w:bidi="ar-SA"/>
        </w:rPr>
        <w:t>62</w:t>
      </w:r>
      <w:r>
        <w:rPr>
          <w:rFonts w:hint="eastAsia" w:ascii="仿宋_GB2312" w:hAnsi="Times New Roman" w:eastAsia="仿宋_GB2312" w:cs="Times New Roman"/>
          <w:b w:val="0"/>
          <w:bCs w:val="0"/>
          <w:kern w:val="2"/>
          <w:sz w:val="32"/>
          <w:szCs w:val="32"/>
          <w:lang w:val="en-US" w:eastAsia="zh-CN" w:bidi="ar-SA"/>
        </w:rPr>
        <w:t>号文件批复</w:t>
      </w:r>
      <w:r>
        <w:rPr>
          <w:rFonts w:hint="eastAsia" w:ascii="仿宋_GB2312" w:hAnsi="Times New Roman" w:cs="Times New Roman"/>
          <w:b w:val="0"/>
          <w:bCs w:val="0"/>
          <w:kern w:val="2"/>
          <w:sz w:val="32"/>
          <w:szCs w:val="32"/>
          <w:lang w:val="en-US" w:eastAsia="zh-CN" w:bidi="ar-SA"/>
        </w:rPr>
        <w:t>工程实施</w:t>
      </w:r>
      <w:r>
        <w:rPr>
          <w:rFonts w:hint="eastAsia" w:ascii="仿宋_GB2312" w:hAnsi="Times New Roman" w:eastAsia="仿宋_GB2312" w:cs="Times New Roman"/>
          <w:b w:val="0"/>
          <w:bCs w:val="0"/>
          <w:kern w:val="2"/>
          <w:sz w:val="32"/>
          <w:szCs w:val="32"/>
          <w:lang w:val="en-US" w:eastAsia="zh-CN" w:bidi="ar-SA"/>
        </w:rPr>
        <w:t>，工程主要建设内容为</w:t>
      </w:r>
      <w:r>
        <w:rPr>
          <w:rFonts w:hint="eastAsia" w:ascii="仿宋_GB2312" w:hAnsi="Times New Roman"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1）建成一座集自动采集、控制、传输、接收、处理、存储为一体的灌区信息平台（调度室），与水管所所有视频监控设备及渠系远程控制设备对接；（2）在鸭翅余沙河管理站节制闸、暖泉管理站节制闸、鸭翅渠首河道与节制闸、暖泉渠首河道与节制闸及永安渠首河道与节制闸共计架设视频监控设备（摄像头）25个；（3）建设远程闸门控制设施1处。工程批复总投资</w:t>
      </w:r>
      <w:r>
        <w:rPr>
          <w:rFonts w:hint="eastAsia" w:ascii="仿宋_GB2312" w:cs="Times New Roman"/>
          <w:b w:val="0"/>
          <w:bCs w:val="0"/>
          <w:kern w:val="2"/>
          <w:sz w:val="32"/>
          <w:szCs w:val="32"/>
          <w:lang w:val="en-US" w:eastAsia="zh-CN" w:bidi="ar-SA"/>
        </w:rPr>
        <w:t>88.64</w:t>
      </w:r>
      <w:r>
        <w:rPr>
          <w:rFonts w:hint="eastAsia" w:ascii="仿宋_GB2312" w:hAnsi="Times New Roman" w:eastAsia="仿宋_GB2312" w:cs="Times New Roman"/>
          <w:b w:val="0"/>
          <w:bCs w:val="0"/>
          <w:kern w:val="2"/>
          <w:sz w:val="32"/>
          <w:szCs w:val="32"/>
          <w:lang w:val="en-US" w:eastAsia="zh-CN" w:bidi="ar-SA"/>
        </w:rPr>
        <w:t>万元。</w:t>
      </w:r>
    </w:p>
    <w:p w14:paraId="14996D40">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left="640" w:leftChars="0" w:firstLine="0" w:firstLineChars="0"/>
        <w:textAlignment w:val="auto"/>
        <w:outlineLvl w:val="0"/>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预算资金情况</w:t>
      </w:r>
    </w:p>
    <w:p w14:paraId="2507C132">
      <w:pPr>
        <w:pStyle w:val="15"/>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项目总预算金额：</w:t>
      </w:r>
      <w:r>
        <w:rPr>
          <w:rFonts w:hint="eastAsia" w:ascii="仿宋_GB2312" w:cs="Times New Roman"/>
          <w:b w:val="0"/>
          <w:bCs w:val="0"/>
          <w:kern w:val="2"/>
          <w:sz w:val="32"/>
          <w:szCs w:val="32"/>
          <w:lang w:val="en-US" w:eastAsia="zh-CN" w:bidi="ar-SA"/>
        </w:rPr>
        <w:t>85</w:t>
      </w:r>
      <w:r>
        <w:rPr>
          <w:rFonts w:hint="eastAsia" w:ascii="仿宋_GB2312" w:hAnsi="Times New Roman" w:cs="Times New Roman"/>
          <w:b w:val="0"/>
          <w:bCs w:val="0"/>
          <w:kern w:val="2"/>
          <w:sz w:val="32"/>
          <w:szCs w:val="32"/>
          <w:lang w:val="en-US" w:eastAsia="zh-CN" w:bidi="ar-SA"/>
        </w:rPr>
        <w:t>万</w:t>
      </w:r>
      <w:r>
        <w:rPr>
          <w:rFonts w:hint="eastAsia" w:ascii="仿宋_GB2312" w:hAnsi="Times New Roman" w:eastAsia="仿宋_GB2312" w:cs="Times New Roman"/>
          <w:b w:val="0"/>
          <w:bCs w:val="0"/>
          <w:kern w:val="2"/>
          <w:sz w:val="32"/>
          <w:szCs w:val="32"/>
          <w:lang w:val="en-US" w:eastAsia="zh-CN" w:bidi="ar-SA"/>
        </w:rPr>
        <w:t>元；</w:t>
      </w:r>
    </w:p>
    <w:p w14:paraId="31C5DC9B">
      <w:pPr>
        <w:pStyle w:val="15"/>
        <w:rPr>
          <w:rFonts w:hint="eastAsia" w:ascii="楷体_GB2312" w:hAnsi="楷体_GB2312" w:eastAsia="楷体_GB2312" w:cs="楷体_GB2312"/>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项目当年预算金额：</w:t>
      </w:r>
      <w:r>
        <w:rPr>
          <w:rFonts w:hint="eastAsia" w:ascii="仿宋_GB2312" w:cs="Times New Roman"/>
          <w:b w:val="0"/>
          <w:bCs w:val="0"/>
          <w:kern w:val="2"/>
          <w:sz w:val="32"/>
          <w:szCs w:val="32"/>
          <w:lang w:val="en-US" w:eastAsia="zh-CN" w:bidi="ar-SA"/>
        </w:rPr>
        <w:t>85</w:t>
      </w:r>
      <w:r>
        <w:rPr>
          <w:rFonts w:hint="eastAsia" w:ascii="仿宋_GB2312" w:hAnsi="Times New Roman" w:cs="Times New Roman"/>
          <w:b w:val="0"/>
          <w:bCs w:val="0"/>
          <w:kern w:val="2"/>
          <w:sz w:val="32"/>
          <w:szCs w:val="32"/>
          <w:lang w:val="en-US" w:eastAsia="zh-CN" w:bidi="ar-SA"/>
        </w:rPr>
        <w:t>万</w:t>
      </w:r>
      <w:r>
        <w:rPr>
          <w:rFonts w:hint="eastAsia" w:ascii="仿宋_GB2312" w:hAnsi="Times New Roman" w:eastAsia="仿宋_GB2312" w:cs="Times New Roman"/>
          <w:b w:val="0"/>
          <w:bCs w:val="0"/>
          <w:kern w:val="2"/>
          <w:sz w:val="32"/>
          <w:szCs w:val="32"/>
          <w:lang w:val="en-US" w:eastAsia="zh-CN" w:bidi="ar-SA"/>
        </w:rPr>
        <w:t>元；</w:t>
      </w:r>
    </w:p>
    <w:p w14:paraId="48CF64B3">
      <w:pPr>
        <w:numPr>
          <w:ilvl w:val="0"/>
          <w:numId w:val="0"/>
        </w:numPr>
        <w:ind w:firstLine="640"/>
        <w:jc w:val="both"/>
        <w:rPr>
          <w:rFonts w:hint="default"/>
          <w:lang w:val="en-US" w:eastAsia="zh-CN"/>
        </w:rPr>
      </w:pPr>
      <w:r>
        <w:rPr>
          <w:rFonts w:hint="eastAsia" w:ascii="仿宋_GB2312" w:hAnsi="Times New Roman" w:eastAsia="仿宋_GB2312" w:cs="Times New Roman"/>
          <w:b w:val="0"/>
          <w:bCs w:val="0"/>
          <w:kern w:val="2"/>
          <w:sz w:val="32"/>
          <w:szCs w:val="32"/>
          <w:lang w:val="en-US" w:eastAsia="zh-CN" w:bidi="ar-SA"/>
        </w:rPr>
        <w:t>根据</w:t>
      </w:r>
      <w:r>
        <w:rPr>
          <w:rFonts w:hint="eastAsia" w:ascii="仿宋_GB2312" w:hAnsi="Times New Roman" w:cs="Times New Roman"/>
          <w:b w:val="0"/>
          <w:bCs w:val="0"/>
          <w:kern w:val="2"/>
          <w:sz w:val="32"/>
          <w:szCs w:val="32"/>
          <w:lang w:val="en-US" w:eastAsia="zh-CN" w:bidi="ar-SA"/>
        </w:rPr>
        <w:t>《甘肃省财政厅关于提前下达2023年省级财政</w:t>
      </w:r>
      <w:r>
        <w:rPr>
          <w:rFonts w:hint="eastAsia" w:ascii="仿宋_GB2312" w:cs="Times New Roman"/>
          <w:b w:val="0"/>
          <w:bCs w:val="0"/>
          <w:kern w:val="2"/>
          <w:sz w:val="32"/>
          <w:szCs w:val="32"/>
          <w:lang w:val="en-US" w:eastAsia="zh-CN" w:bidi="ar-SA"/>
        </w:rPr>
        <w:t>水资源费预算</w:t>
      </w:r>
      <w:r>
        <w:rPr>
          <w:rFonts w:hint="eastAsia" w:ascii="仿宋_GB2312" w:hAnsi="Times New Roman" w:cs="Times New Roman"/>
          <w:b w:val="0"/>
          <w:bCs w:val="0"/>
          <w:kern w:val="2"/>
          <w:sz w:val="32"/>
          <w:szCs w:val="32"/>
          <w:lang w:val="en-US" w:eastAsia="zh-CN" w:bidi="ar-SA"/>
        </w:rPr>
        <w:t>资金预算的通知》（甘财农〔2022〕121号）下达本工程建设资金</w:t>
      </w:r>
      <w:r>
        <w:rPr>
          <w:rFonts w:hint="eastAsia" w:ascii="仿宋_GB2312" w:cs="Times New Roman"/>
          <w:b w:val="0"/>
          <w:bCs w:val="0"/>
          <w:kern w:val="2"/>
          <w:sz w:val="32"/>
          <w:szCs w:val="32"/>
          <w:lang w:val="en-US" w:eastAsia="zh-CN" w:bidi="ar-SA"/>
        </w:rPr>
        <w:t>85</w:t>
      </w:r>
      <w:r>
        <w:rPr>
          <w:rFonts w:hint="eastAsia" w:ascii="仿宋_GB2312" w:hAnsi="Times New Roman" w:cs="Times New Roman"/>
          <w:b w:val="0"/>
          <w:bCs w:val="0"/>
          <w:kern w:val="2"/>
          <w:sz w:val="32"/>
          <w:szCs w:val="32"/>
          <w:lang w:val="en-US" w:eastAsia="zh-CN" w:bidi="ar-SA"/>
        </w:rPr>
        <w:t>万元。</w:t>
      </w:r>
    </w:p>
    <w:p w14:paraId="7A05A96C">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outlineLvl w:val="0"/>
        <w:rPr>
          <w:rFonts w:hint="eastAsia" w:ascii="黑体" w:hAnsi="黑体" w:eastAsia="黑体" w:cs="Times New Roman"/>
          <w:b w:val="0"/>
          <w:bCs/>
          <w:kern w:val="0"/>
          <w:sz w:val="32"/>
          <w:szCs w:val="32"/>
          <w:lang w:val="zh-CN" w:eastAsia="zh-CN" w:bidi="ar-SA"/>
        </w:rPr>
      </w:pPr>
      <w:r>
        <w:rPr>
          <w:rFonts w:hint="eastAsia" w:ascii="黑体" w:hAnsi="黑体" w:eastAsia="黑体" w:cs="Times New Roman"/>
          <w:b w:val="0"/>
          <w:bCs/>
          <w:kern w:val="0"/>
          <w:sz w:val="32"/>
          <w:szCs w:val="32"/>
          <w:lang w:val="zh-CN" w:eastAsia="zh-CN" w:bidi="ar-SA"/>
        </w:rPr>
        <w:t>评价结论和绩效分析</w:t>
      </w:r>
    </w:p>
    <w:p w14:paraId="1D919FB2">
      <w:pPr>
        <w:pStyle w:val="14"/>
        <w:pageBreakBefore w:val="0"/>
        <w:widowControl w:val="0"/>
        <w:numPr>
          <w:ilvl w:val="1"/>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评价结果</w:t>
      </w:r>
    </w:p>
    <w:p w14:paraId="2D19627C">
      <w:pPr>
        <w:pStyle w:val="15"/>
        <w:pageBreakBefore w:val="0"/>
        <w:widowControl w:val="0"/>
        <w:kinsoku/>
        <w:wordWrap/>
        <w:overflowPunct/>
        <w:topLinePunct w:val="0"/>
        <w:autoSpaceDE/>
        <w:autoSpaceDN/>
        <w:bidi w:val="0"/>
        <w:adjustRightInd/>
        <w:snapToGrid/>
        <w:spacing w:line="580" w:lineRule="exact"/>
        <w:textAlignment w:val="auto"/>
        <w:rPr>
          <w:rFonts w:hint="eastAsia" w:ascii="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评价得分：</w:t>
      </w:r>
      <w:r>
        <w:rPr>
          <w:rFonts w:hint="eastAsia" w:ascii="仿宋_GB2312" w:cs="Times New Roman"/>
          <w:b w:val="0"/>
          <w:bCs w:val="0"/>
          <w:kern w:val="2"/>
          <w:sz w:val="32"/>
          <w:szCs w:val="32"/>
          <w:lang w:val="en-US" w:eastAsia="zh-CN" w:bidi="ar-SA"/>
        </w:rPr>
        <w:t>99.77</w:t>
      </w:r>
      <w:bookmarkStart w:id="5" w:name="_GoBack"/>
      <w:bookmarkEnd w:id="5"/>
    </w:p>
    <w:p w14:paraId="01767272">
      <w:pPr>
        <w:pStyle w:val="15"/>
        <w:pageBreakBefore w:val="0"/>
        <w:widowControl w:val="0"/>
        <w:kinsoku/>
        <w:wordWrap/>
        <w:overflowPunct/>
        <w:topLinePunct w:val="0"/>
        <w:autoSpaceDE/>
        <w:autoSpaceDN/>
        <w:bidi w:val="0"/>
        <w:adjustRightInd/>
        <w:snapToGrid/>
        <w:spacing w:line="580" w:lineRule="exact"/>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绩效等级：优秀</w:t>
      </w:r>
    </w:p>
    <w:p w14:paraId="3BE8FB89">
      <w:pPr>
        <w:bidi w:val="0"/>
        <w:rPr>
          <w:rFonts w:hint="default"/>
          <w:lang w:val="en-US" w:eastAsia="zh-CN"/>
        </w:rPr>
      </w:pPr>
      <w:r>
        <w:rPr>
          <w:rFonts w:hint="eastAsia"/>
          <w:lang w:val="en-US" w:eastAsia="zh-CN"/>
        </w:rPr>
        <w:t xml:space="preserve">    </w:t>
      </w:r>
      <w:r>
        <w:rPr>
          <w:rFonts w:hint="eastAsia" w:ascii="楷体_GB2312" w:hAnsi="楷体_GB2312" w:eastAsia="楷体_GB2312" w:cs="楷体_GB2312"/>
          <w:lang w:val="en-US" w:eastAsia="zh-CN"/>
        </w:rPr>
        <w:t>（一）项目资金情况分析</w:t>
      </w:r>
    </w:p>
    <w:p w14:paraId="688C0905">
      <w:pPr>
        <w:ind w:firstLine="640"/>
        <w:rPr>
          <w:rFonts w:hint="eastAsia"/>
          <w:lang w:val="en-US" w:eastAsia="zh-CN"/>
        </w:rPr>
      </w:pPr>
      <w:r>
        <w:rPr>
          <w:rFonts w:hint="eastAsia"/>
          <w:lang w:val="en-US" w:eastAsia="zh-CN"/>
        </w:rPr>
        <w:t>1.资金到位情况</w:t>
      </w:r>
    </w:p>
    <w:p w14:paraId="2B4FF430">
      <w:pPr>
        <w:numPr>
          <w:ilvl w:val="0"/>
          <w:numId w:val="0"/>
        </w:numPr>
        <w:ind w:firstLine="640"/>
        <w:jc w:val="both"/>
        <w:rPr>
          <w:rFonts w:hint="default"/>
          <w:lang w:val="en-US" w:eastAsia="zh-CN"/>
        </w:rPr>
      </w:pPr>
      <w:r>
        <w:rPr>
          <w:rFonts w:hint="eastAsia" w:ascii="仿宋_GB2312" w:hAnsi="Times New Roman" w:cs="Times New Roman"/>
          <w:b w:val="0"/>
          <w:bCs w:val="0"/>
          <w:kern w:val="2"/>
          <w:sz w:val="32"/>
          <w:szCs w:val="32"/>
          <w:lang w:val="en-US" w:eastAsia="zh-CN" w:bidi="ar-SA"/>
        </w:rPr>
        <w:t>根据甘财农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12</w:t>
      </w:r>
      <w:r>
        <w:rPr>
          <w:rFonts w:hint="eastAsia" w:ascii="仿宋_GB2312" w:cs="Times New Roman"/>
          <w:b w:val="0"/>
          <w:bCs w:val="0"/>
          <w:kern w:val="2"/>
          <w:sz w:val="32"/>
          <w:szCs w:val="32"/>
          <w:lang w:val="en-US" w:eastAsia="zh-CN" w:bidi="ar-SA"/>
        </w:rPr>
        <w:t>1</w:t>
      </w:r>
      <w:r>
        <w:rPr>
          <w:rFonts w:hint="eastAsia" w:ascii="仿宋_GB2312" w:hAnsi="Times New Roman" w:cs="Times New Roman"/>
          <w:b w:val="0"/>
          <w:bCs w:val="0"/>
          <w:kern w:val="2"/>
          <w:sz w:val="32"/>
          <w:szCs w:val="32"/>
          <w:lang w:val="en-US" w:eastAsia="zh-CN" w:bidi="ar-SA"/>
        </w:rPr>
        <w:t>号文件下达本工程建设资金</w:t>
      </w:r>
      <w:r>
        <w:rPr>
          <w:rFonts w:hint="eastAsia" w:ascii="仿宋_GB2312" w:cs="Times New Roman"/>
          <w:b w:val="0"/>
          <w:bCs w:val="0"/>
          <w:kern w:val="2"/>
          <w:sz w:val="32"/>
          <w:szCs w:val="32"/>
          <w:lang w:val="en-US" w:eastAsia="zh-CN" w:bidi="ar-SA"/>
        </w:rPr>
        <w:t>85</w:t>
      </w:r>
      <w:r>
        <w:rPr>
          <w:rFonts w:hint="eastAsia" w:ascii="仿宋_GB2312" w:hAnsi="Times New Roman" w:cs="Times New Roman"/>
          <w:b w:val="0"/>
          <w:bCs w:val="0"/>
          <w:kern w:val="2"/>
          <w:sz w:val="32"/>
          <w:szCs w:val="32"/>
          <w:lang w:val="en-US" w:eastAsia="zh-CN" w:bidi="ar-SA"/>
        </w:rPr>
        <w:t>万元，实际资金到位</w:t>
      </w:r>
      <w:r>
        <w:rPr>
          <w:rFonts w:hint="eastAsia" w:ascii="仿宋_GB2312" w:cs="Times New Roman"/>
          <w:b w:val="0"/>
          <w:bCs w:val="0"/>
          <w:kern w:val="2"/>
          <w:sz w:val="32"/>
          <w:szCs w:val="32"/>
          <w:lang w:val="en-US" w:eastAsia="zh-CN" w:bidi="ar-SA"/>
        </w:rPr>
        <w:t>85</w:t>
      </w:r>
      <w:r>
        <w:rPr>
          <w:rFonts w:hint="eastAsia" w:ascii="仿宋_GB2312" w:hAnsi="Times New Roman" w:cs="Times New Roman"/>
          <w:b w:val="0"/>
          <w:bCs w:val="0"/>
          <w:kern w:val="2"/>
          <w:sz w:val="32"/>
          <w:szCs w:val="32"/>
          <w:lang w:val="en-US" w:eastAsia="zh-CN" w:bidi="ar-SA"/>
        </w:rPr>
        <w:t>万元，</w:t>
      </w:r>
      <w:r>
        <w:rPr>
          <w:rFonts w:hint="eastAsia" w:ascii="仿宋_GB2312" w:hAnsi="Times New Roman" w:eastAsia="仿宋_GB2312"/>
          <w:sz w:val="32"/>
          <w:szCs w:val="32"/>
          <w:lang w:val="en-US" w:eastAsia="zh-CN"/>
        </w:rPr>
        <w:t>财政资金到位率100%，资金到位及时。</w:t>
      </w:r>
    </w:p>
    <w:p w14:paraId="23340D97">
      <w:pPr>
        <w:ind w:firstLine="640"/>
        <w:rPr>
          <w:rFonts w:hint="eastAsia"/>
          <w:lang w:val="en-US" w:eastAsia="zh-CN"/>
        </w:rPr>
      </w:pPr>
      <w:r>
        <w:rPr>
          <w:rFonts w:hint="eastAsia"/>
          <w:lang w:val="en-US" w:eastAsia="zh-CN"/>
        </w:rPr>
        <w:t>2.资金完成情况</w:t>
      </w:r>
    </w:p>
    <w:p w14:paraId="41EB312F">
      <w:pPr>
        <w:ind w:firstLine="640"/>
        <w:rPr>
          <w:rFonts w:hint="default"/>
          <w:lang w:val="en-US" w:eastAsia="zh-CN"/>
        </w:rPr>
      </w:pPr>
      <w:r>
        <w:rPr>
          <w:rFonts w:hint="eastAsia"/>
          <w:lang w:val="en-US" w:eastAsia="zh-CN"/>
        </w:rPr>
        <w:t>至目前，该工程批复建设内容已全部完成。完成投资85万元，完成率100%。</w:t>
      </w:r>
    </w:p>
    <w:p w14:paraId="4EB431FC">
      <w:pPr>
        <w:ind w:firstLine="640"/>
        <w:rPr>
          <w:rFonts w:hint="eastAsia"/>
          <w:lang w:val="en-US" w:eastAsia="zh-CN"/>
        </w:rPr>
      </w:pPr>
      <w:r>
        <w:rPr>
          <w:rFonts w:hint="eastAsia"/>
          <w:lang w:val="en-US" w:eastAsia="zh-CN"/>
        </w:rPr>
        <w:t>3.资金管理情况</w:t>
      </w:r>
    </w:p>
    <w:p w14:paraId="1524B4B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sz w:val="32"/>
          <w:szCs w:val="32"/>
          <w:lang w:val="en-US" w:eastAsia="zh-CN"/>
        </w:rPr>
        <w:t>（1）</w:t>
      </w:r>
      <w:r>
        <w:rPr>
          <w:rFonts w:hint="eastAsia" w:ascii="仿宋_GB2312" w:hAnsi="Times New Roman" w:eastAsia="仿宋_GB2312"/>
          <w:sz w:val="32"/>
          <w:szCs w:val="32"/>
          <w:lang w:val="en-US" w:eastAsia="zh-CN"/>
        </w:rPr>
        <w:t>财务管理情况</w:t>
      </w:r>
    </w:p>
    <w:p w14:paraId="2101165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严格执行《水利发展资金使用管理办法》（财农〔2019〕54号）、《甘肃省水利发展资金管理实施细则》（甘财农〔2020〕8号）和《甘肃省水利发展资金绩效管理暂行办法》（甘财农二〔2018〕103号）等资金管理办法。按照“专户管理，专款专用，注重实效”的原则进行资金管理使用。</w:t>
      </w:r>
    </w:p>
    <w:p w14:paraId="09582BF3">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一是建立健全各项管理制度。为规范和加强专项资金的管理，保证资金安全使用，建设单位结合实际制定了《工程资金管理和工程价款结算支付管理制度》，按照《国有建设单位会计制度》的要求，设立会计帐簿，对专项资金运行的各个过程进行记录、核算、监督、管理。</w:t>
      </w:r>
    </w:p>
    <w:p w14:paraId="395DB40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二是加强项目资金管理力度，严把资金核拨和报帐程序。专项资金的管理遵循“报帐制”原则，分项目核算。</w:t>
      </w:r>
    </w:p>
    <w:p w14:paraId="081A8CC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三是严格控制待摊投资的支出，科学归集单项工程的共同性费用。专项资金的管理费支出严格按照国家有关规定控制使用范围。</w:t>
      </w:r>
    </w:p>
    <w:p w14:paraId="387D9FC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四是严格投资概算控制，在工程建设过程中，严格根据设计图纸施工，有效控制了工程投资概算。该工程没有超出概算。</w:t>
      </w:r>
    </w:p>
    <w:p w14:paraId="6E2DD5E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（2）资金安全</w:t>
      </w:r>
    </w:p>
    <w:p w14:paraId="6F6C3D2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执行《甘肃省水利发展资金使用管理实施办法》等资金管理办法及规章制度，严格管理建设资金。资金支付执行国库存集中支付制度和县级财政报账制，从制度和机制上确保水利发展资金安全运行。各项目建设单位设立专户，封闭运行。按照批复的建设内容、规模和范围作用，专账核算、专款专用，严禁挤占、截留、挪用，确保了资金及时到位，促进了工程建设的顺利实施。按照合同要求，定期按实际完成的工程量，经监理部审核，项目法人审查验收，进行工程进度款结算。在工程建设过程中，严格执行合同管理制，无拖欠工程款和农民工工资的情况。</w:t>
      </w:r>
    </w:p>
    <w:p w14:paraId="3B891FA8">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（二）项目管理情况分析</w:t>
      </w:r>
    </w:p>
    <w:p w14:paraId="578011CD">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1.组织实施</w:t>
      </w:r>
    </w:p>
    <w:p w14:paraId="5905FAEB">
      <w:pPr>
        <w:pStyle w:val="14"/>
        <w:numPr>
          <w:ilvl w:val="1"/>
          <w:numId w:val="0"/>
        </w:numPr>
        <w:spacing w:line="240" w:lineRule="auto"/>
        <w:ind w:firstLine="640" w:firstLineChars="200"/>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（2）临泽县小型水利建设项目2023年鸭暖灌区地表水管理自动化平台建设项目批复的绩效目标为</w:t>
      </w:r>
      <w:r>
        <w:rPr>
          <w:rFonts w:hint="eastAsia" w:ascii="仿宋_GB2312" w:hAnsi="Times New Roman" w:eastAsia="仿宋_GB2312" w:cs="Times New Roman"/>
          <w:sz w:val="32"/>
          <w:szCs w:val="32"/>
          <w:lang w:val="en-US" w:eastAsia="zh-CN"/>
        </w:rPr>
        <w:t>：修建调度室1座，安装监控设备25个，建设远程控制闸门1座，对接原有设备和数据平台</w:t>
      </w:r>
      <w:r>
        <w:rPr>
          <w:rFonts w:hint="eastAsia" w:ascii="仿宋_GB2312" w:hAnsi="Times New Roman" w:cs="Times New Roman"/>
          <w:sz w:val="32"/>
          <w:szCs w:val="32"/>
          <w:lang w:val="en-US" w:eastAsia="zh-CN"/>
        </w:rPr>
        <w:t>。</w:t>
      </w:r>
      <w:r>
        <w:rPr>
          <w:rFonts w:hint="eastAsia" w:ascii="仿宋_GB2312" w:hAnsi="Times New Roman"/>
          <w:sz w:val="32"/>
          <w:szCs w:val="32"/>
          <w:lang w:val="en-US" w:eastAsia="zh-CN"/>
        </w:rPr>
        <w:t>绩效目标</w:t>
      </w:r>
      <w:r>
        <w:rPr>
          <w:rFonts w:hint="eastAsia" w:ascii="仿宋_GB2312" w:hAnsi="Times New Roman" w:eastAsia="仿宋_GB2312"/>
          <w:sz w:val="32"/>
          <w:szCs w:val="32"/>
          <w:lang w:val="en-US" w:eastAsia="zh-CN"/>
        </w:rPr>
        <w:t>未发生调整。</w:t>
      </w:r>
    </w:p>
    <w:p w14:paraId="4102ADAB">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（2）为加强临泽县小型水利建设项目2023年鸭暖灌区地表水管理自动化平台建设项目建设与管理，</w:t>
      </w:r>
      <w:r>
        <w:rPr>
          <w:rFonts w:hint="eastAsia" w:ascii="仿宋_GB2312" w:hAnsi="Times New Roman"/>
          <w:color w:val="auto"/>
          <w:sz w:val="32"/>
          <w:szCs w:val="32"/>
          <w:lang w:val="en-US" w:eastAsia="zh-CN"/>
        </w:rPr>
        <w:t>临泽县节水型社会试点建设领导小组办公室</w:t>
      </w:r>
      <w:r>
        <w:rPr>
          <w:rFonts w:hint="eastAsia" w:ascii="仿宋_GB2312" w:hAnsi="Times New Roman" w:eastAsia="仿宋_GB2312"/>
          <w:color w:val="auto"/>
          <w:sz w:val="32"/>
          <w:szCs w:val="32"/>
          <w:lang w:val="en-US" w:eastAsia="zh-CN"/>
        </w:rPr>
        <w:t>作</w:t>
      </w:r>
      <w:r>
        <w:rPr>
          <w:rFonts w:hint="eastAsia" w:ascii="仿宋_GB2312" w:hAnsi="Times New Roman" w:eastAsia="仿宋_GB2312"/>
          <w:sz w:val="32"/>
          <w:szCs w:val="32"/>
          <w:lang w:val="en-US" w:eastAsia="zh-CN"/>
        </w:rPr>
        <w:t>为项目法人，全面负责该工程建设的日常管理工作，包括项目招投标、施工管理、资金管理、后勤与材料供应、档案管理及工程竣工验收等。本工程建设严格按照“四制”进行管理，实行合同管理。项目合同签订后，严格按照工程实施方案开展项目，做到了事前预防、事中监督、事后把关，进行质量控制。质量管理实行法人负责、施工单位保证、监理单位控制和政府部门监督相结合的质量管理体系，严格执行基本建设程序，对工程规模、效益、质量、投资进行了严格控制。</w:t>
      </w:r>
    </w:p>
    <w:p w14:paraId="4E2EB4E2">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（三）产出指标完成情况分析</w:t>
      </w:r>
    </w:p>
    <w:p w14:paraId="48C586E9">
      <w:pPr>
        <w:pStyle w:val="14"/>
        <w:numPr>
          <w:ilvl w:val="1"/>
          <w:numId w:val="0"/>
        </w:numPr>
        <w:spacing w:line="240" w:lineRule="auto"/>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已完成指标:</w:t>
      </w:r>
    </w:p>
    <w:tbl>
      <w:tblPr>
        <w:tblStyle w:val="11"/>
        <w:tblW w:w="5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2268"/>
      </w:tblGrid>
      <w:tr w14:paraId="0B4EA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3079" w:type="dxa"/>
            <w:shd w:val="clear" w:color="000000" w:fill="BFBFBF"/>
          </w:tcPr>
          <w:p w14:paraId="1C77073C">
            <w:pPr>
              <w:widowControl/>
              <w:jc w:val="center"/>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419CB0B2">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r>
      <w:tr w14:paraId="2612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3CC517DA">
            <w:pPr>
              <w:widowControl/>
              <w:jc w:val="left"/>
              <w:rPr>
                <w:rFonts w:ascii="宋体" w:hAnsi="宋体" w:cs="宋体"/>
                <w:kern w:val="0"/>
                <w:sz w:val="22"/>
              </w:rPr>
            </w:pPr>
            <w:r>
              <w:rPr>
                <w:rFonts w:hint="eastAsia" w:ascii="宋体" w:hAnsi="宋体" w:cs="宋体"/>
                <w:kern w:val="0"/>
                <w:sz w:val="22"/>
              </w:rPr>
              <w:t>水资源综合管理能力提升</w:t>
            </w:r>
          </w:p>
        </w:tc>
        <w:tc>
          <w:tcPr>
            <w:tcW w:w="2268" w:type="dxa"/>
            <w:vAlign w:val="center"/>
          </w:tcPr>
          <w:p w14:paraId="599403E7">
            <w:pPr>
              <w:widowControl/>
              <w:jc w:val="center"/>
              <w:rPr>
                <w:rFonts w:ascii="宋体" w:hAnsi="宋体" w:cs="宋体"/>
                <w:kern w:val="0"/>
                <w:sz w:val="22"/>
              </w:rPr>
            </w:pPr>
            <w:r>
              <w:rPr>
                <w:rFonts w:hint="eastAsia" w:ascii="宋体" w:hAnsi="宋体" w:cs="宋体"/>
                <w:kern w:val="0"/>
                <w:sz w:val="22"/>
              </w:rPr>
              <w:t>100%</w:t>
            </w:r>
          </w:p>
        </w:tc>
      </w:tr>
      <w:tr w14:paraId="4D9E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7EAAB80">
            <w:pPr>
              <w:widowControl/>
              <w:jc w:val="left"/>
              <w:rPr>
                <w:rFonts w:ascii="宋体" w:hAnsi="宋体" w:cs="宋体"/>
                <w:kern w:val="0"/>
                <w:sz w:val="22"/>
              </w:rPr>
            </w:pPr>
            <w:r>
              <w:rPr>
                <w:rFonts w:hint="eastAsia" w:ascii="宋体" w:hAnsi="宋体" w:cs="宋体"/>
                <w:kern w:val="0"/>
                <w:sz w:val="22"/>
              </w:rPr>
              <w:t>已建工程/购置设备良性运行</w:t>
            </w:r>
          </w:p>
        </w:tc>
        <w:tc>
          <w:tcPr>
            <w:tcW w:w="2268" w:type="dxa"/>
            <w:vAlign w:val="center"/>
          </w:tcPr>
          <w:p w14:paraId="2157080C">
            <w:pPr>
              <w:widowControl/>
              <w:jc w:val="center"/>
              <w:rPr>
                <w:rFonts w:ascii="宋体" w:hAnsi="宋体" w:cs="宋体"/>
                <w:kern w:val="0"/>
                <w:sz w:val="22"/>
              </w:rPr>
            </w:pPr>
            <w:r>
              <w:rPr>
                <w:rFonts w:hint="eastAsia" w:ascii="宋体" w:hAnsi="宋体" w:cs="宋体"/>
                <w:kern w:val="0"/>
                <w:sz w:val="22"/>
              </w:rPr>
              <w:t>100%</w:t>
            </w:r>
          </w:p>
        </w:tc>
      </w:tr>
      <w:tr w14:paraId="4A22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4AD9B94B">
            <w:pPr>
              <w:widowControl/>
              <w:jc w:val="left"/>
              <w:rPr>
                <w:rFonts w:ascii="宋体" w:hAnsi="宋体" w:cs="宋体"/>
                <w:kern w:val="0"/>
                <w:sz w:val="22"/>
              </w:rPr>
            </w:pPr>
            <w:r>
              <w:rPr>
                <w:rFonts w:hint="eastAsia" w:ascii="宋体" w:hAnsi="宋体" w:cs="宋体"/>
                <w:kern w:val="0"/>
                <w:sz w:val="22"/>
              </w:rPr>
              <w:t>项目验收合格率</w:t>
            </w:r>
          </w:p>
        </w:tc>
        <w:tc>
          <w:tcPr>
            <w:tcW w:w="2268" w:type="dxa"/>
            <w:vAlign w:val="center"/>
          </w:tcPr>
          <w:p w14:paraId="05663FE6">
            <w:pPr>
              <w:widowControl/>
              <w:jc w:val="center"/>
              <w:rPr>
                <w:rFonts w:ascii="宋体" w:hAnsi="宋体" w:cs="宋体"/>
                <w:kern w:val="0"/>
                <w:sz w:val="22"/>
              </w:rPr>
            </w:pPr>
            <w:r>
              <w:rPr>
                <w:rFonts w:hint="eastAsia" w:ascii="宋体" w:hAnsi="宋体" w:cs="宋体"/>
                <w:kern w:val="0"/>
                <w:sz w:val="22"/>
              </w:rPr>
              <w:t>100.00%</w:t>
            </w:r>
          </w:p>
        </w:tc>
      </w:tr>
      <w:tr w14:paraId="3561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6FB5833">
            <w:pPr>
              <w:widowControl/>
              <w:jc w:val="left"/>
              <w:rPr>
                <w:rFonts w:ascii="宋体" w:hAnsi="宋体" w:cs="宋体"/>
                <w:kern w:val="0"/>
                <w:sz w:val="22"/>
              </w:rPr>
            </w:pPr>
            <w:r>
              <w:rPr>
                <w:rFonts w:hint="eastAsia" w:ascii="宋体" w:hAnsi="宋体" w:cs="宋体"/>
                <w:kern w:val="0"/>
                <w:sz w:val="22"/>
              </w:rPr>
              <w:t>水资源节约与保护管理工作水平提升</w:t>
            </w:r>
          </w:p>
        </w:tc>
        <w:tc>
          <w:tcPr>
            <w:tcW w:w="2268" w:type="dxa"/>
            <w:vAlign w:val="center"/>
          </w:tcPr>
          <w:p w14:paraId="57657CC0">
            <w:pPr>
              <w:widowControl/>
              <w:jc w:val="center"/>
              <w:rPr>
                <w:rFonts w:ascii="宋体" w:hAnsi="宋体" w:cs="宋体"/>
                <w:kern w:val="0"/>
                <w:sz w:val="22"/>
              </w:rPr>
            </w:pPr>
            <w:r>
              <w:rPr>
                <w:rFonts w:hint="eastAsia" w:ascii="宋体" w:hAnsi="宋体" w:cs="宋体"/>
                <w:kern w:val="0"/>
                <w:sz w:val="22"/>
              </w:rPr>
              <w:t>100%</w:t>
            </w:r>
          </w:p>
        </w:tc>
      </w:tr>
      <w:tr w14:paraId="1D885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2BC4815">
            <w:pPr>
              <w:widowControl/>
              <w:jc w:val="left"/>
              <w:rPr>
                <w:rFonts w:ascii="宋体" w:hAnsi="宋体" w:cs="宋体"/>
                <w:kern w:val="0"/>
                <w:sz w:val="22"/>
              </w:rPr>
            </w:pPr>
            <w:r>
              <w:rPr>
                <w:rFonts w:hint="eastAsia" w:ascii="宋体" w:hAnsi="宋体" w:cs="宋体"/>
                <w:kern w:val="0"/>
                <w:sz w:val="22"/>
              </w:rPr>
              <w:t>水资源管理信息系统建设运行维护</w:t>
            </w:r>
          </w:p>
        </w:tc>
        <w:tc>
          <w:tcPr>
            <w:tcW w:w="2268" w:type="dxa"/>
            <w:vAlign w:val="center"/>
          </w:tcPr>
          <w:p w14:paraId="1637B519">
            <w:pPr>
              <w:widowControl/>
              <w:jc w:val="center"/>
              <w:rPr>
                <w:rFonts w:ascii="宋体" w:hAnsi="宋体" w:cs="宋体"/>
                <w:kern w:val="0"/>
                <w:sz w:val="22"/>
              </w:rPr>
            </w:pPr>
            <w:r>
              <w:rPr>
                <w:rFonts w:hint="eastAsia" w:ascii="宋体" w:hAnsi="宋体" w:cs="宋体"/>
                <w:kern w:val="0"/>
                <w:sz w:val="22"/>
              </w:rPr>
              <w:t>100.00%</w:t>
            </w:r>
          </w:p>
        </w:tc>
      </w:tr>
      <w:tr w14:paraId="69FDF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0CE03B78">
            <w:pPr>
              <w:widowControl/>
              <w:jc w:val="left"/>
              <w:rPr>
                <w:rFonts w:ascii="宋体" w:hAnsi="宋体" w:cs="宋体"/>
                <w:kern w:val="0"/>
                <w:sz w:val="22"/>
              </w:rPr>
            </w:pPr>
            <w:r>
              <w:rPr>
                <w:rFonts w:hint="eastAsia" w:ascii="宋体" w:hAnsi="宋体" w:cs="宋体"/>
                <w:kern w:val="0"/>
                <w:sz w:val="22"/>
              </w:rPr>
              <w:t>项目管理长效机制健全</w:t>
            </w:r>
          </w:p>
        </w:tc>
        <w:tc>
          <w:tcPr>
            <w:tcW w:w="2268" w:type="dxa"/>
            <w:vAlign w:val="center"/>
          </w:tcPr>
          <w:p w14:paraId="7B8C17DB">
            <w:pPr>
              <w:widowControl/>
              <w:jc w:val="center"/>
              <w:rPr>
                <w:rFonts w:ascii="宋体" w:hAnsi="宋体" w:cs="宋体"/>
                <w:kern w:val="0"/>
                <w:sz w:val="22"/>
              </w:rPr>
            </w:pPr>
            <w:r>
              <w:rPr>
                <w:rFonts w:hint="eastAsia" w:ascii="宋体" w:hAnsi="宋体" w:cs="宋体"/>
                <w:kern w:val="0"/>
                <w:sz w:val="22"/>
              </w:rPr>
              <w:t>100%</w:t>
            </w:r>
          </w:p>
        </w:tc>
      </w:tr>
      <w:tr w14:paraId="698F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3449793">
            <w:pPr>
              <w:widowControl/>
              <w:jc w:val="left"/>
              <w:rPr>
                <w:rFonts w:ascii="宋体" w:hAnsi="宋体" w:cs="宋体"/>
                <w:kern w:val="0"/>
                <w:sz w:val="22"/>
              </w:rPr>
            </w:pPr>
            <w:r>
              <w:rPr>
                <w:rFonts w:hint="eastAsia" w:ascii="宋体" w:hAnsi="宋体" w:cs="宋体"/>
                <w:kern w:val="0"/>
                <w:sz w:val="22"/>
              </w:rPr>
              <w:t>年度预算控制率</w:t>
            </w:r>
          </w:p>
        </w:tc>
        <w:tc>
          <w:tcPr>
            <w:tcW w:w="2268" w:type="dxa"/>
            <w:vAlign w:val="center"/>
          </w:tcPr>
          <w:p w14:paraId="400B6059">
            <w:pPr>
              <w:widowControl/>
              <w:jc w:val="center"/>
              <w:rPr>
                <w:rFonts w:ascii="宋体" w:hAnsi="宋体" w:cs="宋体"/>
                <w:kern w:val="0"/>
                <w:sz w:val="22"/>
              </w:rPr>
            </w:pPr>
            <w:r>
              <w:rPr>
                <w:rFonts w:hint="eastAsia" w:ascii="宋体" w:hAnsi="宋体" w:cs="宋体"/>
                <w:kern w:val="0"/>
                <w:sz w:val="22"/>
              </w:rPr>
              <w:t>100.00%</w:t>
            </w:r>
          </w:p>
        </w:tc>
      </w:tr>
      <w:tr w14:paraId="293E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52C3EDB2">
            <w:pPr>
              <w:widowControl/>
              <w:jc w:val="left"/>
              <w:rPr>
                <w:rFonts w:ascii="宋体" w:hAnsi="宋体" w:cs="宋体"/>
                <w:kern w:val="0"/>
                <w:sz w:val="22"/>
              </w:rPr>
            </w:pPr>
            <w:r>
              <w:rPr>
                <w:rFonts w:hint="eastAsia" w:ascii="宋体" w:hAnsi="宋体" w:cs="宋体"/>
                <w:kern w:val="0"/>
                <w:sz w:val="22"/>
              </w:rPr>
              <w:t>项目开展及时率</w:t>
            </w:r>
          </w:p>
        </w:tc>
        <w:tc>
          <w:tcPr>
            <w:tcW w:w="2268" w:type="dxa"/>
            <w:vAlign w:val="center"/>
          </w:tcPr>
          <w:p w14:paraId="27970A38">
            <w:pPr>
              <w:widowControl/>
              <w:jc w:val="center"/>
              <w:rPr>
                <w:rFonts w:ascii="宋体" w:hAnsi="宋体" w:cs="宋体"/>
                <w:kern w:val="0"/>
                <w:sz w:val="22"/>
              </w:rPr>
            </w:pPr>
            <w:r>
              <w:rPr>
                <w:rFonts w:hint="eastAsia" w:ascii="宋体" w:hAnsi="宋体" w:cs="宋体"/>
                <w:kern w:val="0"/>
                <w:sz w:val="22"/>
              </w:rPr>
              <w:t>100.00%</w:t>
            </w:r>
          </w:p>
        </w:tc>
      </w:tr>
      <w:tr w14:paraId="5F50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5A3F5056">
            <w:pPr>
              <w:widowControl/>
              <w:jc w:val="left"/>
              <w:rPr>
                <w:rFonts w:ascii="宋体" w:hAnsi="宋体" w:cs="宋体"/>
                <w:kern w:val="0"/>
                <w:sz w:val="22"/>
              </w:rPr>
            </w:pPr>
            <w:r>
              <w:rPr>
                <w:rFonts w:hint="eastAsia" w:ascii="宋体" w:hAnsi="宋体" w:cs="宋体"/>
                <w:kern w:val="0"/>
                <w:sz w:val="22"/>
              </w:rPr>
              <w:t>项目完工及时率</w:t>
            </w:r>
          </w:p>
        </w:tc>
        <w:tc>
          <w:tcPr>
            <w:tcW w:w="2268" w:type="dxa"/>
            <w:vAlign w:val="center"/>
          </w:tcPr>
          <w:p w14:paraId="20872FF6">
            <w:pPr>
              <w:widowControl/>
              <w:jc w:val="center"/>
              <w:rPr>
                <w:rFonts w:ascii="宋体" w:hAnsi="宋体" w:cs="宋体"/>
                <w:kern w:val="0"/>
                <w:sz w:val="22"/>
              </w:rPr>
            </w:pPr>
            <w:r>
              <w:rPr>
                <w:rFonts w:hint="eastAsia" w:ascii="宋体" w:hAnsi="宋体" w:cs="宋体"/>
                <w:kern w:val="0"/>
                <w:sz w:val="22"/>
              </w:rPr>
              <w:t>100.00%</w:t>
            </w:r>
          </w:p>
        </w:tc>
      </w:tr>
      <w:tr w14:paraId="59DB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DE0DB0A">
            <w:pPr>
              <w:widowControl/>
              <w:jc w:val="left"/>
              <w:rPr>
                <w:rFonts w:ascii="宋体" w:hAnsi="宋体" w:cs="宋体"/>
                <w:kern w:val="0"/>
                <w:sz w:val="22"/>
              </w:rPr>
            </w:pPr>
            <w:r>
              <w:rPr>
                <w:rFonts w:hint="eastAsia" w:ascii="宋体" w:hAnsi="宋体" w:cs="宋体"/>
                <w:kern w:val="0"/>
                <w:sz w:val="22"/>
              </w:rPr>
              <w:t>项目验收率</w:t>
            </w:r>
          </w:p>
        </w:tc>
        <w:tc>
          <w:tcPr>
            <w:tcW w:w="2268" w:type="dxa"/>
            <w:vAlign w:val="center"/>
          </w:tcPr>
          <w:p w14:paraId="0423D2EE">
            <w:pPr>
              <w:widowControl/>
              <w:jc w:val="center"/>
              <w:rPr>
                <w:rFonts w:ascii="宋体" w:hAnsi="宋体" w:cs="宋体"/>
                <w:kern w:val="0"/>
                <w:sz w:val="22"/>
              </w:rPr>
            </w:pPr>
            <w:r>
              <w:rPr>
                <w:rFonts w:hint="eastAsia" w:ascii="宋体" w:hAnsi="宋体" w:cs="宋体"/>
                <w:kern w:val="0"/>
                <w:sz w:val="22"/>
              </w:rPr>
              <w:t>100.00%</w:t>
            </w:r>
          </w:p>
        </w:tc>
      </w:tr>
    </w:tbl>
    <w:p w14:paraId="4BDC8CBB">
      <w:pPr>
        <w:pStyle w:val="16"/>
        <w:ind w:firstLine="640" w:firstLineChars="200"/>
        <w:jc w:val="both"/>
        <w:rPr>
          <w:rFonts w:hint="eastAsia"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未完成指标</w:t>
      </w:r>
    </w:p>
    <w:tbl>
      <w:tblPr>
        <w:tblStyle w:val="11"/>
        <w:tblW w:w="8506"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268"/>
        <w:gridCol w:w="3119"/>
      </w:tblGrid>
      <w:tr w14:paraId="650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119" w:type="dxa"/>
            <w:shd w:val="clear" w:color="000000" w:fill="BFBFBF"/>
            <w:vAlign w:val="center"/>
          </w:tcPr>
          <w:p w14:paraId="5ED1E9FB">
            <w:pPr>
              <w:widowControl/>
              <w:jc w:val="left"/>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26F2F86A">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c>
          <w:tcPr>
            <w:tcW w:w="3119" w:type="dxa"/>
            <w:shd w:val="clear" w:color="000000" w:fill="BFBFBF"/>
          </w:tcPr>
          <w:p w14:paraId="4385CDF5">
            <w:pPr>
              <w:widowControl/>
              <w:jc w:val="center"/>
              <w:rPr>
                <w:rFonts w:ascii="仿宋" w:hAnsi="仿宋" w:eastAsia="仿宋" w:cs="宋体"/>
                <w:b/>
                <w:bCs/>
                <w:kern w:val="0"/>
                <w:sz w:val="22"/>
              </w:rPr>
            </w:pPr>
            <w:r>
              <w:rPr>
                <w:rFonts w:hint="eastAsia" w:ascii="仿宋" w:hAnsi="仿宋" w:eastAsia="仿宋" w:cs="宋体"/>
                <w:b/>
                <w:bCs/>
                <w:kern w:val="0"/>
                <w:sz w:val="22"/>
              </w:rPr>
              <w:t>偏差率</w:t>
            </w:r>
          </w:p>
        </w:tc>
      </w:tr>
      <w:tr w14:paraId="22BD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0D2F4462">
            <w:pPr>
              <w:widowControl/>
              <w:jc w:val="left"/>
              <w:rPr>
                <w:rFonts w:ascii="宋体" w:hAnsi="宋体" w:cs="宋体"/>
                <w:kern w:val="0"/>
                <w:sz w:val="22"/>
              </w:rPr>
            </w:pPr>
            <w:r>
              <w:rPr>
                <w:rFonts w:hint="eastAsia" w:ascii="宋体" w:hAnsi="宋体" w:cs="宋体"/>
                <w:kern w:val="0"/>
                <w:sz w:val="22"/>
              </w:rPr>
              <w:t>服务对象满意度</w:t>
            </w:r>
          </w:p>
        </w:tc>
        <w:tc>
          <w:tcPr>
            <w:tcW w:w="2268" w:type="dxa"/>
            <w:vAlign w:val="center"/>
          </w:tcPr>
          <w:p w14:paraId="0645733B">
            <w:pPr>
              <w:widowControl/>
              <w:jc w:val="center"/>
              <w:rPr>
                <w:rFonts w:ascii="宋体" w:hAnsi="宋体" w:cs="宋体"/>
                <w:kern w:val="0"/>
                <w:sz w:val="22"/>
              </w:rPr>
            </w:pPr>
            <w:r>
              <w:rPr>
                <w:rFonts w:hint="eastAsia" w:ascii="宋体" w:hAnsi="宋体" w:cs="宋体"/>
                <w:kern w:val="0"/>
                <w:sz w:val="22"/>
              </w:rPr>
              <w:t>111.11%</w:t>
            </w:r>
          </w:p>
        </w:tc>
        <w:tc>
          <w:tcPr>
            <w:tcW w:w="3119" w:type="dxa"/>
            <w:vAlign w:val="center"/>
          </w:tcPr>
          <w:p w14:paraId="3C565ECB">
            <w:pPr>
              <w:widowControl/>
              <w:jc w:val="center"/>
              <w:rPr>
                <w:rFonts w:ascii="宋体" w:hAnsi="宋体" w:cs="宋体"/>
                <w:kern w:val="0"/>
                <w:sz w:val="22"/>
              </w:rPr>
            </w:pPr>
            <w:r>
              <w:rPr>
                <w:rFonts w:hint="eastAsia" w:ascii="宋体" w:hAnsi="宋体" w:cs="宋体"/>
                <w:kern w:val="0"/>
                <w:sz w:val="22"/>
              </w:rPr>
              <w:t>-11.11%</w:t>
            </w:r>
          </w:p>
        </w:tc>
      </w:tr>
    </w:tbl>
    <w:p w14:paraId="61F3A6C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1.项目数量指标</w:t>
      </w:r>
    </w:p>
    <w:p w14:paraId="0BB2D14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sz w:val="32"/>
          <w:szCs w:val="32"/>
          <w:lang w:val="en-US" w:eastAsia="zh-CN"/>
        </w:rPr>
      </w:pPr>
      <w:r>
        <w:rPr>
          <w:rFonts w:hint="eastAsia" w:ascii="仿宋_GB2312" w:hAnsi="Times New Roman" w:eastAsia="仿宋_GB2312"/>
          <w:sz w:val="32"/>
          <w:szCs w:val="32"/>
          <w:lang w:val="en-US" w:eastAsia="zh-CN"/>
        </w:rPr>
        <w:t>临泽县小型水利建设项目2023年鸭暖灌区地表水管理自动化平台建设项目</w:t>
      </w:r>
      <w:r>
        <w:rPr>
          <w:rFonts w:hint="eastAsia" w:ascii="仿宋_GB2312" w:hAnsi="Times New Roman"/>
          <w:sz w:val="32"/>
          <w:szCs w:val="32"/>
          <w:lang w:val="en-US" w:eastAsia="zh-CN"/>
        </w:rPr>
        <w:t>已完成</w:t>
      </w:r>
      <w:r>
        <w:rPr>
          <w:rFonts w:hint="eastAsia" w:ascii="仿宋_GB2312" w:hAnsi="Times New Roman" w:eastAsia="仿宋_GB2312" w:cs="Times New Roman"/>
          <w:b w:val="0"/>
          <w:bCs w:val="0"/>
          <w:kern w:val="2"/>
          <w:sz w:val="32"/>
          <w:szCs w:val="32"/>
          <w:lang w:val="en-US" w:eastAsia="zh-CN" w:bidi="ar-SA"/>
        </w:rPr>
        <w:t>灌区信息平台（调度室）</w:t>
      </w:r>
      <w:r>
        <w:rPr>
          <w:rFonts w:hint="eastAsia" w:ascii="仿宋_GB2312" w:hAnsi="Times New Roman" w:cs="Times New Roman"/>
          <w:b w:val="0"/>
          <w:bCs w:val="0"/>
          <w:kern w:val="2"/>
          <w:sz w:val="32"/>
          <w:szCs w:val="32"/>
          <w:lang w:val="en-US" w:eastAsia="zh-CN" w:bidi="ar-SA"/>
        </w:rPr>
        <w:t>1处，</w:t>
      </w:r>
      <w:r>
        <w:rPr>
          <w:rFonts w:hint="eastAsia" w:ascii="仿宋_GB2312" w:hAnsi="Times New Roman" w:eastAsia="仿宋_GB2312" w:cs="Times New Roman"/>
          <w:b w:val="0"/>
          <w:bCs w:val="0"/>
          <w:kern w:val="2"/>
          <w:sz w:val="32"/>
          <w:szCs w:val="32"/>
          <w:lang w:val="en-US" w:eastAsia="zh-CN" w:bidi="ar-SA"/>
        </w:rPr>
        <w:t>河道与节制闸架设视频监控设备（摄像头）25个</w:t>
      </w:r>
      <w:r>
        <w:rPr>
          <w:rFonts w:hint="eastAsia" w:ascii="仿宋_GB2312" w:hAnsi="Times New Roman"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建设远程闸门控制设施1处</w:t>
      </w:r>
      <w:r>
        <w:rPr>
          <w:rFonts w:hint="eastAsia" w:ascii="仿宋_GB2312" w:hAnsi="Times New Roman"/>
          <w:sz w:val="32"/>
          <w:szCs w:val="32"/>
          <w:lang w:val="en-US" w:eastAsia="zh-CN"/>
        </w:rPr>
        <w:t>。</w:t>
      </w:r>
    </w:p>
    <w:p w14:paraId="7767418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2.项目成本指标</w:t>
      </w:r>
    </w:p>
    <w:p w14:paraId="4A48B23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项目严格按照批复的实施方案和初步设计进行工程建设，在实施中由监理对工程的进度、质量和投资进行控制，所有项目均无超出成本现象。各项目单价均控制在批复概算单价内。</w:t>
      </w:r>
    </w:p>
    <w:p w14:paraId="4B6C7D5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Times New Roman"/>
          <w:b w:val="0"/>
          <w:bCs w:val="0"/>
          <w:color w:val="auto"/>
          <w:sz w:val="32"/>
        </w:rPr>
      </w:pPr>
      <w:r>
        <w:rPr>
          <w:rFonts w:hint="eastAsia" w:ascii="楷体" w:hAnsi="楷体" w:eastAsia="楷体" w:cs="Times New Roman"/>
          <w:b w:val="0"/>
          <w:bCs w:val="0"/>
          <w:color w:val="auto"/>
          <w:sz w:val="32"/>
        </w:rPr>
        <w:t>（四）效益指标完成情况分析</w:t>
      </w:r>
    </w:p>
    <w:p w14:paraId="777CC424">
      <w:pPr>
        <w:pStyle w:val="14"/>
        <w:pageBreakBefore w:val="0"/>
        <w:numPr>
          <w:ilvl w:val="1"/>
          <w:numId w:val="0"/>
        </w:numPr>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bookmarkStart w:id="0" w:name="_Toc517260673"/>
      <w:r>
        <w:rPr>
          <w:rFonts w:hint="eastAsia" w:ascii="仿宋_GB2312" w:hAnsi="Times New Roman" w:cs="Times New Roman"/>
          <w:kern w:val="2"/>
          <w:sz w:val="32"/>
          <w:szCs w:val="32"/>
          <w:lang w:val="en-US" w:eastAsia="zh-CN" w:bidi="ar-SA"/>
        </w:rPr>
        <w:t>1.</w:t>
      </w:r>
      <w:r>
        <w:rPr>
          <w:rFonts w:hint="eastAsia" w:ascii="仿宋_GB2312" w:hAnsi="Times New Roman" w:eastAsia="仿宋_GB2312" w:cs="Times New Roman"/>
          <w:kern w:val="2"/>
          <w:sz w:val="32"/>
          <w:szCs w:val="32"/>
          <w:lang w:val="en-US" w:eastAsia="zh-CN" w:bidi="ar-SA"/>
        </w:rPr>
        <w:t>评价结果</w:t>
      </w:r>
      <w:bookmarkEnd w:id="0"/>
    </w:p>
    <w:p w14:paraId="5611A3EF">
      <w:pPr>
        <w:pStyle w:val="15"/>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评价得分：100</w:t>
      </w:r>
    </w:p>
    <w:p w14:paraId="0B2EDD87">
      <w:pPr>
        <w:pStyle w:val="15"/>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绩效等级：优秀</w:t>
      </w:r>
    </w:p>
    <w:p w14:paraId="70B2208F">
      <w:pPr>
        <w:pStyle w:val="15"/>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已完成指标:</w:t>
      </w:r>
    </w:p>
    <w:tbl>
      <w:tblPr>
        <w:tblStyle w:val="11"/>
        <w:tblW w:w="5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2268"/>
      </w:tblGrid>
      <w:tr w14:paraId="4591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3079" w:type="dxa"/>
            <w:shd w:val="clear" w:color="000000" w:fill="BFBFBF"/>
          </w:tcPr>
          <w:p w14:paraId="14740141">
            <w:pPr>
              <w:widowControl/>
              <w:jc w:val="center"/>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1D6EA331">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r>
      <w:tr w14:paraId="3723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1AC02FF">
            <w:pPr>
              <w:widowControl/>
              <w:jc w:val="left"/>
              <w:rPr>
                <w:rFonts w:ascii="宋体" w:hAnsi="宋体" w:cs="宋体"/>
                <w:kern w:val="0"/>
                <w:sz w:val="22"/>
              </w:rPr>
            </w:pPr>
            <w:r>
              <w:rPr>
                <w:rFonts w:hint="eastAsia" w:ascii="宋体" w:hAnsi="宋体" w:cs="宋体"/>
                <w:kern w:val="0"/>
                <w:sz w:val="22"/>
              </w:rPr>
              <w:t>项目开展及时率</w:t>
            </w:r>
          </w:p>
        </w:tc>
        <w:tc>
          <w:tcPr>
            <w:tcW w:w="2268" w:type="dxa"/>
            <w:vAlign w:val="center"/>
          </w:tcPr>
          <w:p w14:paraId="0FF3D351">
            <w:pPr>
              <w:widowControl/>
              <w:jc w:val="center"/>
              <w:rPr>
                <w:rFonts w:ascii="宋体" w:hAnsi="宋体" w:cs="宋体"/>
                <w:kern w:val="0"/>
                <w:sz w:val="22"/>
              </w:rPr>
            </w:pPr>
            <w:r>
              <w:rPr>
                <w:rFonts w:hint="eastAsia" w:ascii="宋体" w:hAnsi="宋体" w:cs="宋体"/>
                <w:kern w:val="0"/>
                <w:sz w:val="22"/>
              </w:rPr>
              <w:t>100.00%</w:t>
            </w:r>
          </w:p>
        </w:tc>
      </w:tr>
      <w:tr w14:paraId="320D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EC5297C">
            <w:pPr>
              <w:widowControl/>
              <w:jc w:val="left"/>
              <w:rPr>
                <w:rFonts w:ascii="宋体" w:hAnsi="宋体" w:cs="宋体"/>
                <w:kern w:val="0"/>
                <w:sz w:val="22"/>
              </w:rPr>
            </w:pPr>
            <w:r>
              <w:rPr>
                <w:rFonts w:hint="eastAsia" w:ascii="宋体" w:hAnsi="宋体" w:cs="宋体"/>
                <w:kern w:val="0"/>
                <w:sz w:val="22"/>
              </w:rPr>
              <w:t>维修养护项目设备</w:t>
            </w:r>
          </w:p>
        </w:tc>
        <w:tc>
          <w:tcPr>
            <w:tcW w:w="2268" w:type="dxa"/>
            <w:vAlign w:val="center"/>
          </w:tcPr>
          <w:p w14:paraId="3ED72702">
            <w:pPr>
              <w:widowControl/>
              <w:jc w:val="center"/>
              <w:rPr>
                <w:rFonts w:ascii="宋体" w:hAnsi="宋体" w:cs="宋体"/>
                <w:kern w:val="0"/>
                <w:sz w:val="22"/>
              </w:rPr>
            </w:pPr>
            <w:r>
              <w:rPr>
                <w:rFonts w:hint="eastAsia" w:ascii="宋体" w:hAnsi="宋体" w:cs="宋体"/>
                <w:kern w:val="0"/>
                <w:sz w:val="22"/>
              </w:rPr>
              <w:t>100.00%</w:t>
            </w:r>
          </w:p>
        </w:tc>
      </w:tr>
      <w:tr w14:paraId="50CB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AB1074F">
            <w:pPr>
              <w:widowControl/>
              <w:jc w:val="left"/>
              <w:rPr>
                <w:rFonts w:ascii="宋体" w:hAnsi="宋体" w:cs="宋体"/>
                <w:kern w:val="0"/>
                <w:sz w:val="22"/>
              </w:rPr>
            </w:pPr>
            <w:r>
              <w:rPr>
                <w:rFonts w:hint="eastAsia" w:ascii="宋体" w:hAnsi="宋体" w:cs="宋体"/>
                <w:kern w:val="0"/>
                <w:sz w:val="22"/>
              </w:rPr>
              <w:t>年度预算控制率</w:t>
            </w:r>
          </w:p>
        </w:tc>
        <w:tc>
          <w:tcPr>
            <w:tcW w:w="2268" w:type="dxa"/>
            <w:vAlign w:val="center"/>
          </w:tcPr>
          <w:p w14:paraId="586434C1">
            <w:pPr>
              <w:widowControl/>
              <w:jc w:val="center"/>
              <w:rPr>
                <w:rFonts w:ascii="宋体" w:hAnsi="宋体" w:cs="宋体"/>
                <w:kern w:val="0"/>
                <w:sz w:val="22"/>
              </w:rPr>
            </w:pPr>
            <w:r>
              <w:rPr>
                <w:rFonts w:hint="eastAsia" w:ascii="宋体" w:hAnsi="宋体" w:cs="宋体"/>
                <w:kern w:val="0"/>
                <w:sz w:val="22"/>
              </w:rPr>
              <w:t>100.00%</w:t>
            </w:r>
          </w:p>
        </w:tc>
      </w:tr>
      <w:tr w14:paraId="6741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0C401DDD">
            <w:pPr>
              <w:widowControl/>
              <w:jc w:val="left"/>
              <w:rPr>
                <w:rFonts w:ascii="宋体" w:hAnsi="宋体" w:cs="宋体"/>
                <w:kern w:val="0"/>
                <w:sz w:val="22"/>
              </w:rPr>
            </w:pPr>
            <w:r>
              <w:rPr>
                <w:rFonts w:hint="eastAsia" w:ascii="宋体" w:hAnsi="宋体" w:cs="宋体"/>
                <w:kern w:val="0"/>
                <w:sz w:val="22"/>
              </w:rPr>
              <w:t>提高区域防洪能力</w:t>
            </w:r>
          </w:p>
        </w:tc>
        <w:tc>
          <w:tcPr>
            <w:tcW w:w="2268" w:type="dxa"/>
            <w:vAlign w:val="center"/>
          </w:tcPr>
          <w:p w14:paraId="636250D1">
            <w:pPr>
              <w:widowControl/>
              <w:jc w:val="center"/>
              <w:rPr>
                <w:rFonts w:ascii="宋体" w:hAnsi="宋体" w:cs="宋体"/>
                <w:kern w:val="0"/>
                <w:sz w:val="22"/>
              </w:rPr>
            </w:pPr>
            <w:r>
              <w:rPr>
                <w:rFonts w:hint="eastAsia" w:ascii="宋体" w:hAnsi="宋体" w:cs="宋体"/>
                <w:kern w:val="0"/>
                <w:sz w:val="22"/>
              </w:rPr>
              <w:t>100%</w:t>
            </w:r>
          </w:p>
        </w:tc>
      </w:tr>
      <w:tr w14:paraId="1054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51C74B46">
            <w:pPr>
              <w:widowControl/>
              <w:jc w:val="left"/>
              <w:rPr>
                <w:rFonts w:ascii="宋体" w:hAnsi="宋体" w:cs="宋体"/>
                <w:kern w:val="0"/>
                <w:sz w:val="22"/>
              </w:rPr>
            </w:pPr>
            <w:r>
              <w:rPr>
                <w:rFonts w:hint="eastAsia" w:ascii="宋体" w:hAnsi="宋体" w:cs="宋体"/>
                <w:kern w:val="0"/>
                <w:sz w:val="22"/>
              </w:rPr>
              <w:t>维修养护项目防洪排涝及时性</w:t>
            </w:r>
          </w:p>
        </w:tc>
        <w:tc>
          <w:tcPr>
            <w:tcW w:w="2268" w:type="dxa"/>
            <w:vAlign w:val="center"/>
          </w:tcPr>
          <w:p w14:paraId="23D7DAD7">
            <w:pPr>
              <w:widowControl/>
              <w:jc w:val="center"/>
              <w:rPr>
                <w:rFonts w:ascii="宋体" w:hAnsi="宋体" w:cs="宋体"/>
                <w:kern w:val="0"/>
                <w:sz w:val="22"/>
              </w:rPr>
            </w:pPr>
            <w:r>
              <w:rPr>
                <w:rFonts w:hint="eastAsia" w:ascii="宋体" w:hAnsi="宋体" w:cs="宋体"/>
                <w:kern w:val="0"/>
                <w:sz w:val="22"/>
              </w:rPr>
              <w:t>100%</w:t>
            </w:r>
          </w:p>
        </w:tc>
      </w:tr>
      <w:tr w14:paraId="617A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1315FAF">
            <w:pPr>
              <w:widowControl/>
              <w:jc w:val="left"/>
              <w:rPr>
                <w:rFonts w:ascii="宋体" w:hAnsi="宋体" w:cs="宋体"/>
                <w:kern w:val="0"/>
                <w:sz w:val="22"/>
              </w:rPr>
            </w:pPr>
            <w:r>
              <w:rPr>
                <w:rFonts w:hint="eastAsia" w:ascii="宋体" w:hAnsi="宋体" w:cs="宋体"/>
                <w:kern w:val="0"/>
                <w:sz w:val="22"/>
              </w:rPr>
              <w:t>改善生态、生活环境程度</w:t>
            </w:r>
          </w:p>
        </w:tc>
        <w:tc>
          <w:tcPr>
            <w:tcW w:w="2268" w:type="dxa"/>
            <w:vAlign w:val="center"/>
          </w:tcPr>
          <w:p w14:paraId="2A867D5C">
            <w:pPr>
              <w:widowControl/>
              <w:jc w:val="center"/>
              <w:rPr>
                <w:rFonts w:ascii="宋体" w:hAnsi="宋体" w:cs="宋体"/>
                <w:kern w:val="0"/>
                <w:sz w:val="22"/>
              </w:rPr>
            </w:pPr>
            <w:r>
              <w:rPr>
                <w:rFonts w:hint="eastAsia" w:ascii="宋体" w:hAnsi="宋体" w:cs="宋体"/>
                <w:kern w:val="0"/>
                <w:sz w:val="22"/>
              </w:rPr>
              <w:t>100%</w:t>
            </w:r>
          </w:p>
        </w:tc>
      </w:tr>
      <w:tr w14:paraId="4532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E3ABCC2">
            <w:pPr>
              <w:widowControl/>
              <w:jc w:val="left"/>
              <w:rPr>
                <w:rFonts w:ascii="宋体" w:hAnsi="宋体" w:cs="宋体"/>
                <w:kern w:val="0"/>
                <w:sz w:val="22"/>
              </w:rPr>
            </w:pPr>
            <w:r>
              <w:rPr>
                <w:rFonts w:hint="eastAsia" w:ascii="宋体" w:hAnsi="宋体" w:cs="宋体"/>
                <w:kern w:val="0"/>
                <w:sz w:val="22"/>
              </w:rPr>
              <w:t>项目完成及时率（%）</w:t>
            </w:r>
          </w:p>
        </w:tc>
        <w:tc>
          <w:tcPr>
            <w:tcW w:w="2268" w:type="dxa"/>
            <w:vAlign w:val="center"/>
          </w:tcPr>
          <w:p w14:paraId="2CE8FE41">
            <w:pPr>
              <w:widowControl/>
              <w:jc w:val="center"/>
              <w:rPr>
                <w:rFonts w:ascii="宋体" w:hAnsi="宋体" w:cs="宋体"/>
                <w:kern w:val="0"/>
                <w:sz w:val="22"/>
              </w:rPr>
            </w:pPr>
            <w:r>
              <w:rPr>
                <w:rFonts w:hint="eastAsia" w:ascii="宋体" w:hAnsi="宋体" w:cs="宋体"/>
                <w:kern w:val="0"/>
                <w:sz w:val="22"/>
              </w:rPr>
              <w:t>100.00%</w:t>
            </w:r>
          </w:p>
        </w:tc>
      </w:tr>
      <w:tr w14:paraId="4324B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A11229E">
            <w:pPr>
              <w:widowControl/>
              <w:jc w:val="left"/>
              <w:rPr>
                <w:rFonts w:ascii="宋体" w:hAnsi="宋体" w:cs="宋体"/>
                <w:kern w:val="0"/>
                <w:sz w:val="22"/>
              </w:rPr>
            </w:pPr>
            <w:r>
              <w:rPr>
                <w:rFonts w:hint="eastAsia" w:ascii="宋体" w:hAnsi="宋体" w:cs="宋体"/>
                <w:kern w:val="0"/>
                <w:sz w:val="22"/>
              </w:rPr>
              <w:t>项目验收合格率</w:t>
            </w:r>
          </w:p>
        </w:tc>
        <w:tc>
          <w:tcPr>
            <w:tcW w:w="2268" w:type="dxa"/>
            <w:vAlign w:val="center"/>
          </w:tcPr>
          <w:p w14:paraId="00F36D5C">
            <w:pPr>
              <w:widowControl/>
              <w:jc w:val="center"/>
              <w:rPr>
                <w:rFonts w:ascii="宋体" w:hAnsi="宋体" w:cs="宋体"/>
                <w:kern w:val="0"/>
                <w:sz w:val="22"/>
              </w:rPr>
            </w:pPr>
            <w:r>
              <w:rPr>
                <w:rFonts w:hint="eastAsia" w:ascii="宋体" w:hAnsi="宋体" w:cs="宋体"/>
                <w:kern w:val="0"/>
                <w:sz w:val="22"/>
              </w:rPr>
              <w:t>100.00%</w:t>
            </w:r>
          </w:p>
        </w:tc>
      </w:tr>
      <w:tr w14:paraId="5128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181B86E">
            <w:pPr>
              <w:widowControl/>
              <w:jc w:val="left"/>
              <w:rPr>
                <w:rFonts w:ascii="宋体" w:hAnsi="宋体" w:cs="宋体"/>
                <w:kern w:val="0"/>
                <w:sz w:val="22"/>
              </w:rPr>
            </w:pPr>
            <w:r>
              <w:rPr>
                <w:rFonts w:hint="eastAsia" w:ascii="宋体" w:hAnsi="宋体" w:cs="宋体"/>
                <w:kern w:val="0"/>
                <w:sz w:val="22"/>
              </w:rPr>
              <w:t>项目验收率</w:t>
            </w:r>
          </w:p>
        </w:tc>
        <w:tc>
          <w:tcPr>
            <w:tcW w:w="2268" w:type="dxa"/>
            <w:vAlign w:val="center"/>
          </w:tcPr>
          <w:p w14:paraId="2EB81114">
            <w:pPr>
              <w:widowControl/>
              <w:jc w:val="center"/>
              <w:rPr>
                <w:rFonts w:ascii="宋体" w:hAnsi="宋体" w:cs="宋体"/>
                <w:kern w:val="0"/>
                <w:sz w:val="22"/>
              </w:rPr>
            </w:pPr>
            <w:r>
              <w:rPr>
                <w:rFonts w:hint="eastAsia" w:ascii="宋体" w:hAnsi="宋体" w:cs="宋体"/>
                <w:kern w:val="0"/>
                <w:sz w:val="22"/>
              </w:rPr>
              <w:t>100.00%</w:t>
            </w:r>
          </w:p>
        </w:tc>
      </w:tr>
      <w:tr w14:paraId="3272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0F77AE3">
            <w:pPr>
              <w:widowControl/>
              <w:jc w:val="left"/>
              <w:rPr>
                <w:rFonts w:ascii="宋体" w:hAnsi="宋体" w:cs="宋体"/>
                <w:kern w:val="0"/>
                <w:sz w:val="22"/>
              </w:rPr>
            </w:pPr>
            <w:r>
              <w:rPr>
                <w:rFonts w:hint="eastAsia" w:ascii="宋体" w:hAnsi="宋体" w:cs="宋体"/>
                <w:kern w:val="0"/>
                <w:sz w:val="22"/>
              </w:rPr>
              <w:t>促进社会稳定发展程度</w:t>
            </w:r>
          </w:p>
        </w:tc>
        <w:tc>
          <w:tcPr>
            <w:tcW w:w="2268" w:type="dxa"/>
            <w:vAlign w:val="center"/>
          </w:tcPr>
          <w:p w14:paraId="48E157A3">
            <w:pPr>
              <w:widowControl/>
              <w:jc w:val="center"/>
              <w:rPr>
                <w:rFonts w:ascii="宋体" w:hAnsi="宋体" w:cs="宋体"/>
                <w:kern w:val="0"/>
                <w:sz w:val="22"/>
              </w:rPr>
            </w:pPr>
            <w:r>
              <w:rPr>
                <w:rFonts w:hint="eastAsia" w:ascii="宋体" w:hAnsi="宋体" w:cs="宋体"/>
                <w:kern w:val="0"/>
                <w:sz w:val="22"/>
              </w:rPr>
              <w:t>100%</w:t>
            </w:r>
          </w:p>
        </w:tc>
      </w:tr>
    </w:tbl>
    <w:p w14:paraId="3C4F0240">
      <w:pPr>
        <w:pStyle w:val="15"/>
        <w:pageBreakBefore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未完成指标</w:t>
      </w:r>
    </w:p>
    <w:tbl>
      <w:tblPr>
        <w:tblStyle w:val="11"/>
        <w:tblW w:w="8506"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268"/>
        <w:gridCol w:w="3119"/>
      </w:tblGrid>
      <w:tr w14:paraId="5ACF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119" w:type="dxa"/>
            <w:shd w:val="clear" w:color="000000" w:fill="BFBFBF"/>
            <w:vAlign w:val="center"/>
          </w:tcPr>
          <w:p w14:paraId="1A838D63">
            <w:pPr>
              <w:widowControl/>
              <w:jc w:val="left"/>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3025C34E">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c>
          <w:tcPr>
            <w:tcW w:w="3119" w:type="dxa"/>
            <w:shd w:val="clear" w:color="000000" w:fill="BFBFBF"/>
          </w:tcPr>
          <w:p w14:paraId="03581088">
            <w:pPr>
              <w:widowControl/>
              <w:jc w:val="center"/>
              <w:rPr>
                <w:rFonts w:ascii="仿宋" w:hAnsi="仿宋" w:eastAsia="仿宋" w:cs="宋体"/>
                <w:b/>
                <w:bCs/>
                <w:kern w:val="0"/>
                <w:sz w:val="22"/>
              </w:rPr>
            </w:pPr>
            <w:r>
              <w:rPr>
                <w:rFonts w:hint="eastAsia" w:ascii="仿宋" w:hAnsi="仿宋" w:eastAsia="仿宋" w:cs="宋体"/>
                <w:b/>
                <w:bCs/>
                <w:kern w:val="0"/>
                <w:sz w:val="22"/>
              </w:rPr>
              <w:t>偏差率</w:t>
            </w:r>
          </w:p>
        </w:tc>
      </w:tr>
      <w:tr w14:paraId="0EB0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06033DD7">
            <w:pPr>
              <w:widowControl/>
              <w:jc w:val="left"/>
              <w:rPr>
                <w:rFonts w:ascii="宋体" w:hAnsi="宋体" w:cs="宋体"/>
                <w:kern w:val="0"/>
                <w:sz w:val="22"/>
              </w:rPr>
            </w:pPr>
            <w:r>
              <w:rPr>
                <w:rFonts w:hint="eastAsia" w:ascii="宋体" w:hAnsi="宋体" w:cs="宋体"/>
                <w:kern w:val="0"/>
                <w:sz w:val="22"/>
              </w:rPr>
              <w:t>渠系工程水利设施维修养护公里数</w:t>
            </w:r>
          </w:p>
        </w:tc>
        <w:tc>
          <w:tcPr>
            <w:tcW w:w="2268" w:type="dxa"/>
            <w:vAlign w:val="center"/>
          </w:tcPr>
          <w:p w14:paraId="43CC25A7">
            <w:pPr>
              <w:widowControl/>
              <w:jc w:val="center"/>
              <w:rPr>
                <w:rFonts w:ascii="宋体" w:hAnsi="宋体" w:cs="宋体"/>
                <w:kern w:val="0"/>
                <w:sz w:val="22"/>
              </w:rPr>
            </w:pPr>
            <w:r>
              <w:rPr>
                <w:rFonts w:hint="eastAsia" w:ascii="宋体" w:hAnsi="宋体" w:cs="宋体"/>
                <w:kern w:val="0"/>
                <w:sz w:val="22"/>
              </w:rPr>
              <w:t>125.37%</w:t>
            </w:r>
          </w:p>
        </w:tc>
        <w:tc>
          <w:tcPr>
            <w:tcW w:w="3119" w:type="dxa"/>
            <w:vAlign w:val="center"/>
          </w:tcPr>
          <w:p w14:paraId="58A32760">
            <w:pPr>
              <w:widowControl/>
              <w:jc w:val="center"/>
              <w:rPr>
                <w:rFonts w:ascii="宋体" w:hAnsi="宋体" w:cs="宋体"/>
                <w:kern w:val="0"/>
                <w:sz w:val="22"/>
              </w:rPr>
            </w:pPr>
            <w:r>
              <w:rPr>
                <w:rFonts w:hint="eastAsia" w:ascii="宋体" w:hAnsi="宋体" w:cs="宋体"/>
                <w:kern w:val="0"/>
                <w:sz w:val="22"/>
              </w:rPr>
              <w:t>-25.37%</w:t>
            </w:r>
          </w:p>
        </w:tc>
      </w:tr>
      <w:tr w14:paraId="3FF2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21D41EFA">
            <w:pPr>
              <w:widowControl/>
              <w:jc w:val="left"/>
              <w:rPr>
                <w:rFonts w:ascii="宋体" w:hAnsi="宋体" w:cs="宋体"/>
                <w:kern w:val="0"/>
                <w:sz w:val="22"/>
              </w:rPr>
            </w:pPr>
            <w:r>
              <w:rPr>
                <w:rFonts w:hint="eastAsia" w:ascii="宋体" w:hAnsi="宋体" w:cs="宋体"/>
                <w:kern w:val="0"/>
                <w:sz w:val="22"/>
              </w:rPr>
              <w:t>服务对象满意度（%）</w:t>
            </w:r>
          </w:p>
        </w:tc>
        <w:tc>
          <w:tcPr>
            <w:tcW w:w="2268" w:type="dxa"/>
            <w:vAlign w:val="center"/>
          </w:tcPr>
          <w:p w14:paraId="2E8F31DB">
            <w:pPr>
              <w:widowControl/>
              <w:jc w:val="center"/>
              <w:rPr>
                <w:rFonts w:ascii="宋体" w:hAnsi="宋体" w:cs="宋体"/>
                <w:kern w:val="0"/>
                <w:sz w:val="22"/>
              </w:rPr>
            </w:pPr>
            <w:r>
              <w:rPr>
                <w:rFonts w:hint="eastAsia" w:ascii="宋体" w:hAnsi="宋体" w:cs="宋体"/>
                <w:kern w:val="0"/>
                <w:sz w:val="22"/>
              </w:rPr>
              <w:t>106.67%</w:t>
            </w:r>
          </w:p>
        </w:tc>
        <w:tc>
          <w:tcPr>
            <w:tcW w:w="3119" w:type="dxa"/>
            <w:vAlign w:val="center"/>
          </w:tcPr>
          <w:p w14:paraId="76BBDEF9">
            <w:pPr>
              <w:widowControl/>
              <w:jc w:val="center"/>
              <w:rPr>
                <w:rFonts w:ascii="宋体" w:hAnsi="宋体" w:cs="宋体"/>
                <w:kern w:val="0"/>
                <w:sz w:val="22"/>
              </w:rPr>
            </w:pPr>
            <w:r>
              <w:rPr>
                <w:rFonts w:hint="eastAsia" w:ascii="宋体" w:hAnsi="宋体" w:cs="宋体"/>
                <w:kern w:val="0"/>
                <w:sz w:val="22"/>
              </w:rPr>
              <w:t>-6.67%</w:t>
            </w:r>
          </w:p>
        </w:tc>
      </w:tr>
    </w:tbl>
    <w:p w14:paraId="15E04D2B">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pacing w:val="6"/>
          <w:sz w:val="28"/>
          <w:szCs w:val="28"/>
          <w:highlight w:val="none"/>
          <w:lang w:val="en-US" w:eastAsia="zh-CN"/>
        </w:rPr>
      </w:pPr>
      <w:r>
        <w:rPr>
          <w:rFonts w:hint="eastAsia" w:ascii="仿宋_GB2312" w:hAnsi="Times New Roman"/>
          <w:sz w:val="32"/>
          <w:szCs w:val="32"/>
          <w:lang w:val="en-US" w:eastAsia="zh-CN"/>
        </w:rPr>
        <w:t>1.</w:t>
      </w:r>
      <w:r>
        <w:rPr>
          <w:rFonts w:hint="eastAsia" w:ascii="仿宋_GB2312" w:hAnsi="Times New Roman" w:eastAsia="仿宋_GB2312"/>
          <w:sz w:val="32"/>
          <w:szCs w:val="32"/>
          <w:lang w:val="en-US" w:eastAsia="zh-CN"/>
        </w:rPr>
        <w:t>项目实施的社会效益分析</w:t>
      </w:r>
    </w:p>
    <w:p w14:paraId="4AEB49C7">
      <w:pPr>
        <w:pStyle w:val="10"/>
        <w:keepNext w:val="0"/>
        <w:keepLines w:val="0"/>
        <w:pageBreakBefore w:val="0"/>
        <w:widowControl/>
        <w:suppressLineNumbers w:val="0"/>
        <w:tabs>
          <w:tab w:val="left" w:pos="0"/>
        </w:tabs>
        <w:kinsoku/>
        <w:wordWrap/>
        <w:overflowPunct/>
        <w:topLinePunct w:val="0"/>
        <w:autoSpaceDE/>
        <w:autoSpaceDN/>
        <w:bidi w:val="0"/>
        <w:adjustRightInd/>
        <w:snapToGrid/>
        <w:spacing w:beforeAutospacing="0" w:afterAutospacing="0" w:line="600" w:lineRule="exact"/>
        <w:ind w:left="0" w:right="0" w:rightChars="0" w:firstLine="567" w:firstLineChars="0"/>
        <w:jc w:val="lef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sz w:val="32"/>
          <w:szCs w:val="32"/>
          <w:lang w:val="en-US" w:eastAsia="zh-CN"/>
        </w:rPr>
        <w:t>工程建成后，</w:t>
      </w:r>
      <w:r>
        <w:rPr>
          <w:rFonts w:hint="eastAsia" w:ascii="仿宋_GB2312" w:hAnsi="Times New Roman" w:cs="Times New Roman"/>
          <w:sz w:val="32"/>
          <w:szCs w:val="32"/>
          <w:lang w:val="en-US" w:eastAsia="zh-CN"/>
        </w:rPr>
        <w:t>将</w:t>
      </w:r>
      <w:r>
        <w:rPr>
          <w:rFonts w:hint="eastAsia" w:ascii="仿宋_GB2312" w:hAnsi="Times New Roman" w:eastAsia="仿宋_GB2312" w:cs="Times New Roman"/>
          <w:kern w:val="2"/>
          <w:sz w:val="32"/>
          <w:szCs w:val="32"/>
          <w:lang w:val="en-US" w:eastAsia="zh-CN" w:bidi="ar-SA"/>
        </w:rPr>
        <w:t>逐步实现灌区灌溉水资源高效利用、优化配置、科学管理、全面节约、有效保护的目标，为粮食安全提供坚强的水利保障。通过信息自动化平台的建设与应用，切实推动和促进灌区水利管理能力和水平的不断提高，为今后灌区智慧化水务建设奠定坚实的基础。</w:t>
      </w:r>
    </w:p>
    <w:p w14:paraId="44B4D22A">
      <w:pPr>
        <w:pStyle w:val="3"/>
        <w:pageBreakBefore w:val="0"/>
        <w:widowControl/>
        <w:numPr>
          <w:ilvl w:val="1"/>
          <w:numId w:val="0"/>
        </w:numPr>
        <w:kinsoku/>
        <w:wordWrap/>
        <w:overflowPunct/>
        <w:topLinePunct w:val="0"/>
        <w:autoSpaceDE/>
        <w:autoSpaceDN/>
        <w:bidi w:val="0"/>
        <w:adjustRightInd/>
        <w:snapToGrid/>
        <w:spacing w:line="560" w:lineRule="exact"/>
        <w:ind w:firstLine="640" w:firstLineChars="200"/>
        <w:textAlignment w:val="auto"/>
        <w:rPr>
          <w:rFonts w:ascii="楷体" w:hAnsi="楷体" w:eastAsia="楷体" w:cs="Times New Roman"/>
          <w:bCs w:val="0"/>
          <w:color w:val="auto"/>
          <w:sz w:val="32"/>
          <w:szCs w:val="32"/>
        </w:rPr>
      </w:pPr>
      <w:r>
        <w:rPr>
          <w:rFonts w:hint="eastAsia" w:ascii="楷体" w:hAnsi="楷体" w:eastAsia="楷体" w:cs="Times New Roman"/>
          <w:bCs w:val="0"/>
          <w:color w:val="auto"/>
          <w:sz w:val="32"/>
          <w:szCs w:val="32"/>
        </w:rPr>
        <w:t>（五）满意度指标完成情况分析</w:t>
      </w:r>
    </w:p>
    <w:p w14:paraId="045C07A3">
      <w:pPr>
        <w:pageBreakBefore w:val="0"/>
        <w:widowControl/>
        <w:kinsoku/>
        <w:wordWrap/>
        <w:overflowPunct/>
        <w:topLinePunct w:val="0"/>
        <w:autoSpaceDE/>
        <w:autoSpaceDN/>
        <w:bidi w:val="0"/>
        <w:adjustRightInd/>
        <w:snapToGrid/>
        <w:spacing w:line="560" w:lineRule="exact"/>
        <w:ind w:firstLine="640"/>
        <w:textAlignment w:val="auto"/>
        <w:rPr>
          <w:rFonts w:hint="eastAsia" w:ascii="仿宋_GB2312"/>
          <w:color w:val="auto"/>
          <w:sz w:val="32"/>
          <w:szCs w:val="32"/>
        </w:rPr>
      </w:pPr>
      <w:r>
        <w:rPr>
          <w:rFonts w:hint="eastAsia" w:ascii="仿宋_GB2312" w:hAnsi="Times New Roman" w:eastAsia="仿宋_GB2312"/>
          <w:sz w:val="32"/>
          <w:szCs w:val="32"/>
          <w:lang w:val="en-US" w:eastAsia="zh-CN"/>
        </w:rPr>
        <w:t>临泽县小型水利建设项目2023年鸭暖灌区地表水管理自动化平台建设项目</w:t>
      </w:r>
      <w:r>
        <w:rPr>
          <w:rFonts w:hint="eastAsia" w:ascii="仿宋_GB2312"/>
          <w:color w:val="auto"/>
          <w:sz w:val="32"/>
          <w:szCs w:val="32"/>
        </w:rPr>
        <w:t>发放调查</w:t>
      </w:r>
      <w:r>
        <w:rPr>
          <w:rFonts w:hint="eastAsia" w:ascii="仿宋_GB2312" w:hAnsi="Times New Roman" w:eastAsia="仿宋_GB2312" w:cs="Times New Roman"/>
          <w:kern w:val="2"/>
          <w:sz w:val="32"/>
          <w:szCs w:val="32"/>
          <w:lang w:val="en-US" w:eastAsia="zh-CN" w:bidi="ar-SA"/>
        </w:rPr>
        <w:t>问卷</w:t>
      </w:r>
      <w:r>
        <w:rPr>
          <w:rFonts w:hint="eastAsia" w:ascii="仿宋_GB2312"/>
          <w:color w:val="auto"/>
          <w:sz w:val="32"/>
          <w:szCs w:val="32"/>
          <w:lang w:val="en-US" w:eastAsia="zh-CN"/>
        </w:rPr>
        <w:t>30</w:t>
      </w:r>
      <w:r>
        <w:rPr>
          <w:rFonts w:hint="eastAsia" w:ascii="仿宋_GB2312"/>
          <w:color w:val="auto"/>
          <w:sz w:val="32"/>
          <w:szCs w:val="32"/>
        </w:rPr>
        <w:t>份，群众满意度100%。</w:t>
      </w:r>
    </w:p>
    <w:p w14:paraId="5EE7930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b w:val="0"/>
          <w:bCs/>
          <w:kern w:val="0"/>
          <w:sz w:val="32"/>
          <w:szCs w:val="32"/>
          <w:lang w:val="en-US" w:eastAsia="zh-CN" w:bidi="ar-SA"/>
        </w:rPr>
      </w:pPr>
      <w:bookmarkStart w:id="1" w:name="_Toc490218269"/>
      <w:bookmarkStart w:id="2" w:name="_Toc398675340"/>
      <w:bookmarkStart w:id="3" w:name="_Toc488925447"/>
      <w:bookmarkStart w:id="4" w:name="_Toc517260675"/>
      <w:r>
        <w:rPr>
          <w:rFonts w:hint="eastAsia" w:ascii="黑体" w:hAnsi="黑体" w:eastAsia="黑体" w:cs="Times New Roman"/>
          <w:b w:val="0"/>
          <w:bCs/>
          <w:kern w:val="0"/>
          <w:sz w:val="32"/>
          <w:szCs w:val="32"/>
          <w:lang w:val="zh-CN" w:eastAsia="zh-CN" w:bidi="ar-SA"/>
        </w:rPr>
        <w:t>三、</w:t>
      </w:r>
      <w:bookmarkEnd w:id="1"/>
      <w:bookmarkEnd w:id="2"/>
      <w:bookmarkEnd w:id="3"/>
      <w:r>
        <w:rPr>
          <w:rFonts w:hint="eastAsia" w:ascii="黑体" w:hAnsi="黑体" w:eastAsia="黑体" w:cs="Times New Roman"/>
          <w:b w:val="0"/>
          <w:bCs/>
          <w:kern w:val="0"/>
          <w:sz w:val="32"/>
          <w:szCs w:val="32"/>
          <w:lang w:val="zh-CN" w:eastAsia="zh-CN" w:bidi="ar-SA"/>
        </w:rPr>
        <w:t>存在问题和改进措施建议</w:t>
      </w:r>
      <w:bookmarkEnd w:id="4"/>
    </w:p>
    <w:p w14:paraId="09290F2A">
      <w:pPr>
        <w:pStyle w:val="3"/>
        <w:keepNext/>
        <w:keepLines/>
        <w:pageBreakBefore w:val="0"/>
        <w:widowControl/>
        <w:kinsoku/>
        <w:wordWrap/>
        <w:overflowPunct/>
        <w:topLinePunct w:val="0"/>
        <w:autoSpaceDE/>
        <w:autoSpaceDN/>
        <w:bidi w:val="0"/>
        <w:adjustRightInd/>
        <w:snapToGrid/>
        <w:spacing w:before="0" w:after="0" w:line="600" w:lineRule="exact"/>
        <w:ind w:firstLine="643" w:firstLineChars="200"/>
        <w:textAlignment w:val="auto"/>
        <w:rPr>
          <w:rFonts w:hint="eastAsia" w:ascii="楷体" w:hAnsi="楷体" w:eastAsia="楷体" w:cs="Times New Roman"/>
          <w:b/>
          <w:bCs/>
          <w:color w:val="auto"/>
          <w:sz w:val="32"/>
          <w:lang w:val="en-US" w:eastAsia="zh-CN"/>
        </w:rPr>
      </w:pPr>
      <w:r>
        <w:rPr>
          <w:rFonts w:hint="eastAsia" w:ascii="楷体" w:hAnsi="楷体" w:eastAsia="楷体" w:cs="Times New Roman"/>
          <w:b/>
          <w:bCs/>
          <w:color w:val="auto"/>
          <w:sz w:val="32"/>
        </w:rPr>
        <w:t>（一）</w:t>
      </w:r>
      <w:r>
        <w:rPr>
          <w:rFonts w:hint="eastAsia" w:ascii="楷体" w:hAnsi="楷体" w:eastAsia="楷体" w:cs="Times New Roman"/>
          <w:b/>
          <w:bCs/>
          <w:color w:val="auto"/>
          <w:sz w:val="32"/>
          <w:lang w:val="en-US" w:eastAsia="zh-CN"/>
        </w:rPr>
        <w:t>存在问题</w:t>
      </w:r>
    </w:p>
    <w:p w14:paraId="6DC7E063">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302DF4F7">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Times New Roman"/>
          <w:b/>
          <w:bCs/>
          <w:color w:val="auto"/>
          <w:sz w:val="32"/>
          <w:lang w:eastAsia="zh-CN"/>
        </w:rPr>
      </w:pP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二</w:t>
      </w: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有关建议</w:t>
      </w:r>
    </w:p>
    <w:p w14:paraId="5A30EE6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1.严格落实项目责任主体负责制、招投标制、监理制、合同管理制、公示制和验收制等，克服困难，加快工程整体进度。</w:t>
      </w:r>
    </w:p>
    <w:p w14:paraId="19FED27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2.健全体制机制，加强项目建设管理和计划执行调度。弥补项目设施维护管理上的漏洞，加强水利工程建成后的管理，进一步提高项目设施防灾减灾能力。</w:t>
      </w:r>
    </w:p>
    <w:p w14:paraId="4B5F097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 xml:space="preserve">3.完善水利工程建设质量监督制度，加强各方面审计监督力度，严格执行财务制度，增强廉政风险防控，确保各项治理措施按序时进度推进、生产安全和保质保量完成各项工程建设任务。 </w:t>
      </w:r>
    </w:p>
    <w:p w14:paraId="4FF8BAB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p>
    <w:p w14:paraId="3D46BAE7">
      <w:pPr>
        <w:ind w:firstLine="640"/>
        <w:rPr>
          <w:rFonts w:hint="default"/>
          <w:lang w:val="en-US" w:eastAsia="zh-CN"/>
        </w:rPr>
      </w:pPr>
    </w:p>
    <w:sectPr>
      <w:pgSz w:w="11906" w:h="16838"/>
      <w:pgMar w:top="1723" w:right="1633" w:bottom="1213"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8FA70"/>
    <w:multiLevelType w:val="singleLevel"/>
    <w:tmpl w:val="B648FA70"/>
    <w:lvl w:ilvl="0" w:tentative="0">
      <w:start w:val="1"/>
      <w:numFmt w:val="chineseCounting"/>
      <w:suff w:val="nothing"/>
      <w:lvlText w:val="%1、"/>
      <w:lvlJc w:val="left"/>
      <w:rPr>
        <w:rFonts w:hint="eastAsia"/>
      </w:rPr>
    </w:lvl>
  </w:abstractNum>
  <w:abstractNum w:abstractNumId="1">
    <w:nsid w:val="FFDFCF82"/>
    <w:multiLevelType w:val="multilevel"/>
    <w:tmpl w:val="FFDFCF82"/>
    <w:lvl w:ilvl="0" w:tentative="0">
      <w:start w:val="1"/>
      <w:numFmt w:val="decimal"/>
      <w:pStyle w:val="2"/>
      <w:suff w:val="space"/>
      <w:lvlText w:val="%1"/>
      <w:lvlJc w:val="left"/>
      <w:pPr>
        <w:ind w:left="3963" w:hanging="420"/>
      </w:pPr>
      <w:rPr>
        <w:rFonts w:hint="eastAsia"/>
      </w:rPr>
    </w:lvl>
    <w:lvl w:ilvl="1" w:tentative="0">
      <w:start w:val="1"/>
      <w:numFmt w:val="decimal"/>
      <w:pStyle w:val="3"/>
      <w:suff w:val="space"/>
      <w:lvlText w:val="%1.%2"/>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2" w:tentative="0">
      <w:start w:val="1"/>
      <w:numFmt w:val="decimal"/>
      <w:pStyle w:val="4"/>
      <w:suff w:val="space"/>
      <w:lvlText w:val="%1.%2.%3"/>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3" w:tentative="0">
      <w:start w:val="1"/>
      <w:numFmt w:val="decimal"/>
      <w:pStyle w:val="5"/>
      <w:suff w:val="space"/>
      <w:lvlText w:val="%1.%2.%3.%4"/>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4" w:tentative="0">
      <w:start w:val="1"/>
      <w:numFmt w:val="decimal"/>
      <w:lvlText w:val="%1.%2.%3.%4.%5"/>
      <w:lvlJc w:val="left"/>
      <w:pPr>
        <w:tabs>
          <w:tab w:val="left" w:pos="282"/>
        </w:tabs>
        <w:ind w:left="-2" w:firstLine="0"/>
      </w:pPr>
      <w:rPr>
        <w:rFonts w:hint="eastAsia"/>
      </w:rPr>
    </w:lvl>
    <w:lvl w:ilvl="5" w:tentative="0">
      <w:start w:val="1"/>
      <w:numFmt w:val="decimal"/>
      <w:lvlText w:val="%1.%2.%3.%4.%5.%6"/>
      <w:lvlJc w:val="left"/>
      <w:pPr>
        <w:tabs>
          <w:tab w:val="left" w:pos="282"/>
        </w:tabs>
        <w:ind w:left="-2" w:firstLine="0"/>
      </w:pPr>
      <w:rPr>
        <w:rFonts w:hint="eastAsia"/>
      </w:rPr>
    </w:lvl>
    <w:lvl w:ilvl="6" w:tentative="0">
      <w:start w:val="1"/>
      <w:numFmt w:val="decimal"/>
      <w:lvlText w:val="%1.%2.%3.%4.%5.%6.%7"/>
      <w:lvlJc w:val="left"/>
      <w:pPr>
        <w:tabs>
          <w:tab w:val="left" w:pos="282"/>
        </w:tabs>
        <w:ind w:left="-2" w:firstLine="0"/>
      </w:pPr>
      <w:rPr>
        <w:rFonts w:hint="eastAsia"/>
      </w:rPr>
    </w:lvl>
    <w:lvl w:ilvl="7" w:tentative="0">
      <w:start w:val="1"/>
      <w:numFmt w:val="decimal"/>
      <w:lvlText w:val="%1.%2.%3.%4.%5.%6.%7.%8"/>
      <w:lvlJc w:val="left"/>
      <w:pPr>
        <w:tabs>
          <w:tab w:val="left" w:pos="282"/>
        </w:tabs>
        <w:ind w:left="-2" w:firstLine="0"/>
      </w:pPr>
      <w:rPr>
        <w:rFonts w:hint="eastAsia"/>
      </w:rPr>
    </w:lvl>
    <w:lvl w:ilvl="8" w:tentative="0">
      <w:start w:val="1"/>
      <w:numFmt w:val="decimal"/>
      <w:lvlText w:val="%1.%2.%3.%4.%5.%6.%7.%8.%9"/>
      <w:lvlJc w:val="left"/>
      <w:pPr>
        <w:tabs>
          <w:tab w:val="left" w:pos="282"/>
        </w:tabs>
        <w:ind w:left="-2" w:firstLine="0"/>
      </w:pPr>
      <w:rPr>
        <w:rFonts w:hint="eastAsia"/>
      </w:rPr>
    </w:lvl>
  </w:abstractNum>
  <w:abstractNum w:abstractNumId="2">
    <w:nsid w:val="4E4C4F25"/>
    <w:multiLevelType w:val="singleLevel"/>
    <w:tmpl w:val="4E4C4F25"/>
    <w:lvl w:ilvl="0" w:tentative="0">
      <w:start w:val="1"/>
      <w:numFmt w:val="chineseCounting"/>
      <w:suff w:val="nothing"/>
      <w:lvlText w:val="（%1）"/>
      <w:lvlJc w:val="left"/>
      <w:pPr>
        <w:ind w:left="640" w:leftChars="0" w:firstLine="0" w:firstLineChars="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ZDg1NTNlMTkwYThiYzdlMjUyMzQ3NzhiNzJkMDIifQ=="/>
  </w:docVars>
  <w:rsids>
    <w:rsidRoot w:val="1A070929"/>
    <w:rsid w:val="05C005C6"/>
    <w:rsid w:val="152E4023"/>
    <w:rsid w:val="15F96A0E"/>
    <w:rsid w:val="19AB3208"/>
    <w:rsid w:val="1A070929"/>
    <w:rsid w:val="1B882A24"/>
    <w:rsid w:val="1D7A7F51"/>
    <w:rsid w:val="1DE1625F"/>
    <w:rsid w:val="227A0FA5"/>
    <w:rsid w:val="24653902"/>
    <w:rsid w:val="27383550"/>
    <w:rsid w:val="27D73B2E"/>
    <w:rsid w:val="289E4C72"/>
    <w:rsid w:val="2D397142"/>
    <w:rsid w:val="30AB6B41"/>
    <w:rsid w:val="38815040"/>
    <w:rsid w:val="39B76556"/>
    <w:rsid w:val="3D7B789B"/>
    <w:rsid w:val="3F147FA7"/>
    <w:rsid w:val="44466E54"/>
    <w:rsid w:val="463D71C5"/>
    <w:rsid w:val="4D7C5695"/>
    <w:rsid w:val="5D402F71"/>
    <w:rsid w:val="5E430AA6"/>
    <w:rsid w:val="5E497627"/>
    <w:rsid w:val="5ED2769F"/>
    <w:rsid w:val="60F14AC8"/>
    <w:rsid w:val="6556551A"/>
    <w:rsid w:val="6B1F3D2C"/>
    <w:rsid w:val="6FBE16E5"/>
    <w:rsid w:val="757E794D"/>
    <w:rsid w:val="77585F7B"/>
    <w:rsid w:val="7F7A5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autoRedefine/>
    <w:qFormat/>
    <w:uiPriority w:val="0"/>
    <w:pPr>
      <w:widowControl/>
      <w:numPr>
        <w:ilvl w:val="0"/>
        <w:numId w:val="1"/>
      </w:numPr>
      <w:spacing w:before="50" w:beforeLines="50" w:after="50" w:afterLines="50"/>
      <w:ind w:left="0" w:firstLine="0" w:firstLineChars="0"/>
      <w:jc w:val="center"/>
      <w:outlineLvl w:val="0"/>
    </w:pPr>
    <w:rPr>
      <w:rFonts w:ascii="Times New Roman" w:hAnsi="Times New Roman" w:eastAsia="方正小标宋简体" w:cs="宋体"/>
      <w:bCs/>
      <w:sz w:val="32"/>
      <w:szCs w:val="48"/>
    </w:rPr>
  </w:style>
  <w:style w:type="paragraph" w:styleId="3">
    <w:name w:val="heading 2"/>
    <w:basedOn w:val="1"/>
    <w:next w:val="1"/>
    <w:autoRedefine/>
    <w:unhideWhenUsed/>
    <w:qFormat/>
    <w:uiPriority w:val="0"/>
    <w:pPr>
      <w:keepNext/>
      <w:keepLines/>
      <w:numPr>
        <w:ilvl w:val="1"/>
        <w:numId w:val="1"/>
      </w:numPr>
      <w:spacing w:beforeLines="0" w:beforeAutospacing="0" w:afterLines="0" w:afterAutospacing="0" w:line="600" w:lineRule="exact"/>
      <w:outlineLvl w:val="1"/>
    </w:pPr>
    <w:rPr>
      <w:rFonts w:ascii="Arial" w:hAnsi="Arial" w:eastAsia="黑体"/>
    </w:rPr>
  </w:style>
  <w:style w:type="paragraph" w:styleId="4">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spacing w:line="580" w:lineRule="exact"/>
      <w:ind w:firstLine="420" w:firstLineChars="200"/>
    </w:pPr>
    <w:rPr>
      <w:rFonts w:eastAsia="仿宋_GB2312" w:cs="Times New Roman"/>
      <w:sz w:val="32"/>
    </w:rPr>
  </w:style>
  <w:style w:type="paragraph" w:styleId="7">
    <w:name w:val="Body Text"/>
    <w:basedOn w:val="1"/>
    <w:next w:val="6"/>
    <w:autoRedefine/>
    <w:qFormat/>
    <w:uiPriority w:val="0"/>
    <w:pPr>
      <w:spacing w:after="120"/>
    </w:pPr>
    <w:rPr>
      <w:rFonts w:ascii="Times New Roman" w:hAnsi="Times New Roman" w:eastAsia="仿宋_GB2312"/>
      <w:sz w:val="32"/>
    </w:rPr>
  </w:style>
  <w:style w:type="paragraph" w:styleId="8">
    <w:name w:val="header"/>
    <w:basedOn w:val="1"/>
    <w:autoRedefine/>
    <w:qFormat/>
    <w:uiPriority w:val="0"/>
    <w:pPr>
      <w:widowControl w:val="0"/>
      <w:pBdr>
        <w:bottom w:val="single" w:color="auto" w:sz="6" w:space="1"/>
      </w:pBdr>
      <w:tabs>
        <w:tab w:val="center" w:pos="4153"/>
        <w:tab w:val="right" w:pos="8306"/>
      </w:tabs>
      <w:jc w:val="center"/>
    </w:pPr>
    <w:rPr>
      <w:rFonts w:hAnsi="Times New Roman" w:eastAsia="仿宋_GB2312"/>
      <w:sz w:val="18"/>
    </w:rPr>
  </w:style>
  <w:style w:type="paragraph" w:styleId="9">
    <w:name w:val="toc 1"/>
    <w:basedOn w:val="1"/>
    <w:next w:val="1"/>
    <w:unhideWhenUsed/>
    <w:qFormat/>
    <w:uiPriority w:val="39"/>
    <w:pPr>
      <w:tabs>
        <w:tab w:val="right" w:leader="dot" w:pos="8296"/>
      </w:tabs>
      <w:spacing w:line="500" w:lineRule="exact"/>
      <w:jc w:val="center"/>
    </w:pPr>
    <w:rPr>
      <w:rFonts w:eastAsia="仿宋_GB2312"/>
      <w:b/>
      <w:sz w:val="32"/>
      <w:szCs w:val="28"/>
    </w:rPr>
  </w:style>
  <w:style w:type="paragraph" w:styleId="10">
    <w:name w:val="Normal (Web)"/>
    <w:basedOn w:val="1"/>
    <w:autoRedefine/>
    <w:qFormat/>
    <w:uiPriority w:val="0"/>
    <w:pPr>
      <w:widowControl w:val="0"/>
      <w:spacing w:line="240" w:lineRule="auto"/>
      <w:jc w:val="both"/>
    </w:pPr>
    <w:rPr>
      <w:rFonts w:hAnsi="Times New Roman"/>
    </w:rPr>
  </w:style>
  <w:style w:type="paragraph" w:customStyle="1" w:styleId="13">
    <w:name w:val="闻政标题3"/>
    <w:basedOn w:val="4"/>
    <w:autoRedefine/>
    <w:qFormat/>
    <w:uiPriority w:val="0"/>
    <w:pPr>
      <w:spacing w:before="120" w:after="60" w:line="500" w:lineRule="exact"/>
      <w:jc w:val="left"/>
      <w:outlineLvl w:val="0"/>
    </w:pPr>
    <w:rPr>
      <w:rFonts w:ascii="黑体" w:hAnsi="黑体" w:eastAsia="黑体"/>
      <w:b w:val="0"/>
    </w:rPr>
  </w:style>
  <w:style w:type="paragraph" w:customStyle="1" w:styleId="14">
    <w:name w:val="闻政标题4"/>
    <w:basedOn w:val="3"/>
    <w:autoRedefine/>
    <w:qFormat/>
    <w:uiPriority w:val="0"/>
    <w:pPr>
      <w:spacing w:before="120" w:after="60" w:line="500" w:lineRule="exact"/>
      <w:ind w:firstLine="200" w:firstLineChars="200"/>
      <w:jc w:val="left"/>
    </w:pPr>
    <w:rPr>
      <w:rFonts w:ascii="Times New Roman" w:hAnsi="Times New Roman" w:eastAsia="仿宋_GB2312"/>
      <w:sz w:val="28"/>
    </w:rPr>
  </w:style>
  <w:style w:type="paragraph" w:customStyle="1" w:styleId="15">
    <w:name w:val="闻政正文"/>
    <w:basedOn w:val="1"/>
    <w:autoRedefine/>
    <w:qFormat/>
    <w:uiPriority w:val="0"/>
    <w:pPr>
      <w:spacing w:line="500" w:lineRule="exact"/>
      <w:ind w:firstLine="560" w:firstLineChars="200"/>
    </w:pPr>
    <w:rPr>
      <w:rFonts w:eastAsia="仿宋_GB2312"/>
      <w:kern w:val="0"/>
      <w:sz w:val="28"/>
      <w:szCs w:val="28"/>
      <w:lang w:val="zh-CN"/>
    </w:rPr>
  </w:style>
  <w:style w:type="paragraph" w:customStyle="1" w:styleId="16">
    <w:name w:val="闻政表"/>
    <w:basedOn w:val="1"/>
    <w:autoRedefine/>
    <w:qFormat/>
    <w:uiPriority w:val="0"/>
    <w:pPr>
      <w:spacing w:before="60" w:after="60"/>
      <w:jc w:val="center"/>
    </w:pPr>
    <w:rPr>
      <w:rFonts w:eastAsia="仿宋_GB2312"/>
      <w:b/>
      <w:kern w:val="0"/>
      <w:sz w:val="24"/>
      <w:szCs w:val="28"/>
      <w:lang w:val="zh-CN"/>
    </w:rPr>
  </w:style>
  <w:style w:type="character" w:customStyle="1" w:styleId="17">
    <w:name w:val="明显参考1"/>
    <w:autoRedefine/>
    <w:qFormat/>
    <w:uiPriority w:val="0"/>
    <w:rPr>
      <w:b/>
      <w:bCs/>
      <w:smallCaps/>
      <w:color w:val="5B9BD5"/>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2697</Words>
  <Characters>2923</Characters>
  <Lines>0</Lines>
  <Paragraphs>0</Paragraphs>
  <TotalTime>1</TotalTime>
  <ScaleCrop>false</ScaleCrop>
  <LinksUpToDate>false</LinksUpToDate>
  <CharactersWithSpaces>2928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2023-12-28T08:28:00Z</dcterms:created>
  <dc:creator>℡ Tearing</dc:creator>
  <cp:lastModifiedBy>心飞扬</cp:lastModifiedBy>
  <dcterms:modified xsi:type="dcterms:W3CDTF">2024-09-20T07:35:32Z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74D8A47613A749958D36382276A996E0_11</vt:lpwstr>
  </property>
</Properties>
</file>