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505D"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</w:p>
    <w:p w14:paraId="4D372050"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自然资源局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整体支出绩效评价报告</w:t>
      </w:r>
    </w:p>
    <w:p w14:paraId="5BD993BD">
      <w:pPr>
        <w:adjustRightInd w:val="0"/>
        <w:snapToGrid w:val="0"/>
        <w:spacing w:line="540" w:lineRule="atLeast"/>
        <w:ind w:firstLine="643" w:firstLineChars="200"/>
        <w:rPr>
          <w:rFonts w:hint="eastAsia" w:ascii="黑体" w:hAnsi="黑体" w:eastAsia="黑体" w:cs="黑体"/>
          <w:b/>
          <w:szCs w:val="32"/>
        </w:rPr>
      </w:pPr>
    </w:p>
    <w:p w14:paraId="395DE5CE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 w14:paraId="20D2BBC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（一）机构职能</w:t>
      </w:r>
    </w:p>
    <w:p w14:paraId="2BFB823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根据中共临泽县委办公室、临泽县人民政府办公印发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《临泽县自然资源局职能配置、内设机构和人员编制规定》的通知，临泽县自然局是县政府工作部门，为正科级，挂临泽县林业和草原局、临泽县不动产登记管理局、临泽县绿化委员会办公室牌子。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主要职责是：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履行全民所有土地、矿产、森林、草原、湿地、水等自然资源资产所有者职责和全县国土空间用途管制职责。组织实施国家自然资源和国土空间规划及测绘等法律、法规，拟订相关管理办法并贯彻实施。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调查监测评价。贯彻执行自然资源调查监测评价的指标体系和统计标准，建立统一规范的自然资源调查监测评价制度。实施自然资源基础调查、专项调查和监测。负责自然资源调查监测评价成果的监督管理和信息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统一确权登记工作。贯彻执行国家各类自然资源和不动产统一确权登记、权籍调查、不动产测绘、争议调处及成果应用的制度、标准、规范。推进自然资源和不动产登记信息化建设。负责自然资源和不动产登记资料收集、整理、共享、汇交管理等。</w:t>
      </w:r>
    </w:p>
    <w:p w14:paraId="36E6C50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资产有偿使用工作。贯彻执行国家全民所有自然资源资产统计制度，负责全民所有自然资源资产核算。编制全民所有自然资源资产负债表，拟订考核标准。执行全民所有自然资源资产划拨、出让、租赁、作价出资和土地储备政策，合理配置全民所有自然资源资产。负责自然资源资产价值评估管理，依法收缴相关资产收益。</w:t>
      </w:r>
    </w:p>
    <w:p w14:paraId="7491474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的合理开发利用，贯彻执行自然资源发展规划和战略，建立政府公示自然资源价格体系，组织开展自然资源分等定级价格评估，开展自然资源利用评价考核，指导节约集约利用。负责自然资源市场监管。</w:t>
      </w:r>
    </w:p>
    <w:p w14:paraId="20BD33E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全县空间规划体系并监督实施。贯彻落实国家主体功能区战略和制度，组织编制、修订并监督实施全县国土空间规划和相关专项规划，城乡控制性详细规划、分区规划，统筹衔接其他种类专项规划。开展国土空间开发适宜性评价，建立国土空间规划实施监测、评估和预警体系。组织划定生态保护红线、永久基本农田、城镇开发边界等控制线，构建节约资源和保护环境的生产、生活、生态空间布局。贯彻落实国土空间用途管制制度，研究拟订城乡规划政策并监督实施。组织拟订并实施土地等自然资源年度利用计划。负责土地等国土空间用途转用工作。</w:t>
      </w:r>
    </w:p>
    <w:p w14:paraId="66B9468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全县国土空间、林业和草原生态保护修复和造林绿化工作。牵头组织编制全县国土空间、林业和草原生态修复规划并实施有关生态修复重大工程。负责国土空间综合整治、土地整理复垦、矿山地质环境恢复治理、林业和草原重点生态保护修复等工作。指导监督全民义务植树、城乡绿化、公益林和商品林的培育、林业和草原有害生物防治、检疫工作。</w:t>
      </w:r>
    </w:p>
    <w:p w14:paraId="1FBC734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最严格的耕地保护制度。贯彻执行国家耕地保护政策，负责耕地数量、质量、生态保护。组织实施耕地保护责任目标考核和永久基本农田特殊保护。落实耕地占补平衡制度，监督占用耕地补偿制度执行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全县地质勘查相关工作。组织实施全县地质调查和矿产资源勘查，管理县级地质勘查项目，负责地质灾害预防和治理，监督管理地下水过量开采及引发的地面沉降等地质问题。负责古生物化石的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全县综合防灾减灾规划相关要求，组织编制地质灾害、森林和草原火灾防治规划并指导实施。负责地质灾害、森林和草原火灾的预防和治理，组织指导协调和监督地质灾害、森林和草原火灾调查评价及隐患的普查、详查、排查。指导开展群测群防、专业监测和预报预警等工作，指质灾害、森林和草原火灾治理工作。承担地质灾害、森林和草原火灾应急救援的技术支撑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管理工作。负责矿产资源储量及压覆矿产资源管理。负责矿业权管理。监督指导矿产资源合理利用和保护。监督执行全县森林采伐限额。负责林地管理，拟订林地保护利用规划并组织实施，负责公益林划定和管理工作，管理重点国有林区的国有森林资源。负责草原禁牧、草畜平衡和草原生态修复治理工作，监督管理草原的开发利用；负责陆生野生动植物资源监督管理。负责监督管理各类自然保护地和荒漠化防治工作，组织沙尘暴灾害预警预报和应急处置。组织指导林产品质量监督，生态扶贫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负责全县测绘地理信息管理工作。负责基础测绘、测绘行业、测绘资质资格与信用、地理信息公共服务和地图管理，监督管理地理信息安全和市场秩序，组织实施地方测量标志的设立和保护。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订集体林权制度、重点国有林区、国有林场、草原等重大改革意见并监督实施。拟订农村林业发展、维护林业经营者合法权益的政策措施，指导农村林地承包经营工作。开展退耕（牧）还林还草。指导国有林场基本建设和发展，组织林木种子、草种种质资源普查，负责良种选育推广，监督管理林木种苗、草种质量、林业和草原生物种质资源、植物新品种保护和草种生产经营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指导全县森林公安工作，监督管理森林公安队伍，指导全县林业重大违法案件的查处，负责相关行政执法监管工作，指导林区社会治安治理工作。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实施县自然资源领域科技创新发展和人才培养规划计划。贯彻执行国家技术标准和规程规范。组织实施科技工程及创新能力建设，推进自然资源信息化建设，指导自然资源人才队伍建设，组织开展全县自然资源领域对外合作交流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（二）组织机构设置及人员构成情况</w:t>
      </w:r>
    </w:p>
    <w:p w14:paraId="74C9EC2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资源局内设机构有：县国土资源执法监察大队、县林政稽查大队、县土地储备和测绘服务中心、县不动产登记事务中心、县城乡规划事务中心、县城市园林绿化中心、县林业综合服务中心、县林业技术推广中心、县草原监理站（草原工作站）、四个基层自然资源管理所。机构编织人员90人，其中局机关7人，下属事业单位83人。单位现实有人员77人。</w:t>
      </w:r>
    </w:p>
    <w:p w14:paraId="66AF4CE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部门整体预算批复及支出安排情况</w:t>
      </w:r>
    </w:p>
    <w:p w14:paraId="0807BF6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（1）县本级财政资金预算执行情况</w:t>
      </w:r>
    </w:p>
    <w:p w14:paraId="5679E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县级财政资金总计7055.98万元，其中财政年初预算资金4655.98万元，调整增加债券项目资金2400万元。预算内资金4655.98万元，其中基本支出1336.27万元，项目支出3319.71万元。调整增加债券资金2400万元全部为造林绿化项目资金。</w:t>
      </w:r>
    </w:p>
    <w:p w14:paraId="6F74A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万元。其中预算批复项目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个，资金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。一是城区绿化管护费用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，二是有害生物防治30万元，三是全域国土绿化项目县级配套资金989.65万元，四是自然资源规划管理费用824.06万元，五是地质勘查与矿产资源管理费用60万元，六是地质灾害生态搬迁贴息16万元，七是14万亩公益林水费1100万元。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调整增加项目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生态修复债券资金项目2400万元。</w:t>
      </w:r>
    </w:p>
    <w:p w14:paraId="7AB89F4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（2）上级下达部门资金预算执行完成情况</w:t>
      </w:r>
    </w:p>
    <w:p w14:paraId="508D9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，其中全部完成的项目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。未完成的项目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5个，项目资金3987.3万元。</w:t>
      </w:r>
    </w:p>
    <w:p w14:paraId="04F0D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林业贴息贷款项目213.71万元，二是新一轮退耕还林补助项目295.44万元，三是上一轮退耕还林纳入森林抚育项目45.3万元，四是森林生态效益补偿项目81.64万，五是封禁保护补助项目224万元，六是林业有害生物防治15万元。七是森林小镇、森林乡村补助项目资金48万元，八是新增土地切块和统一确权登记项目资金151万元，九是草原虫害防治项目30万元，十是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生态及地质灾害避险搬迁项目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2932万元（含贴息62万元），十一是退耕还林补助项目资金127.97万元，十二是草原生态修复治理项目资金405.2万元，十三是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新一轮退耕还草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补助项目资金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80.82万元。</w:t>
      </w:r>
    </w:p>
    <w:p w14:paraId="487E7FC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（3）上级下达部门资金预算执行未完成情况</w:t>
      </w:r>
    </w:p>
    <w:p w14:paraId="15B70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下达未实施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3987.3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，一是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zh-CN"/>
        </w:rPr>
        <w:t>临泽县2023年全国防沙治沙综合示范区建设项目资金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en-US" w:eastAsia="zh-CN"/>
        </w:rPr>
        <w:t>500万元，二是森林植被恢复费项目资金76.3万元，三是省级财政林下经济项目资金15万元。四是草原生态修复治理项目资金556万元。五是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</w:rPr>
        <w:t>临泽县蓼泉镇南沙窝补充耕地项目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2840万元。上述五个项目正在进行招投标手续，于2024年建设完成。</w:t>
      </w:r>
    </w:p>
    <w:p w14:paraId="5A57E4BF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评价工作开展</w:t>
      </w:r>
    </w:p>
    <w:p w14:paraId="50606F9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（一）绩效评价实施过程</w:t>
      </w:r>
    </w:p>
    <w:p w14:paraId="1F0C0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临泽县财政局关于开展202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年绩效评价工作的通知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》精神，我局高度重视，召开会议进行了安排布署，结合本单位工作实际，对202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年实施的所有财政资金项目进行了梳理，组织相关单位对实施的项目进行了检查验收，并根据预算和绩效管理相关规定，对实施的项目进行了绩效评价和总结。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一是成立项目评价工作小组，制定项目工作计划；二是参与项目评价工作协调会议，提请相关职能部门及被评价方的帮助和配合，确定相关部门的工作人员； 三是收集初步资料，绩效评价人员赴项目单位现场调研，包括分管单位负责人、项目实施单位负责人等；四是项目评价小组联合相关部门参与人员，根据项目评价指标体系及评价方案对项目做出评价，并形成评价报告。</w:t>
      </w:r>
    </w:p>
    <w:p w14:paraId="1729F59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（二）绩效评价整体结果概况</w:t>
      </w:r>
    </w:p>
    <w:p w14:paraId="69763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2023年我局县级财政资金总计7055.98万元，其中财政年初预算资金4655.98万元，支付完成资金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3776.44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(其中公用经费1336.27万元，项目支出2440.17万元)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879.54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万元，未支付原因是乡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镇国土空间规划及“多规合一”实用性村庄规划编制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由乡镇承担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和国土绿化项目管护期未到未支付的资金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5A6EE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调整增加债券项目资金2400万元。全部为造林绿化项目资金。支付完成资金343.2万元，未支付2056.8万元。</w:t>
      </w:r>
    </w:p>
    <w:p w14:paraId="2934A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4584.2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80E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，项目资金3987.3万元，资金未支付。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上述五个项目正在进行招投标手续，于2024年建设完成。</w:t>
      </w:r>
    </w:p>
    <w:p w14:paraId="0583E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投入指标情况，预算编制符合国民经济总体规划，资料信息完整，年度任务明确，指标设置科学合理，经财政部门审核，符合预算相关规定。得分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 w14:paraId="64EBC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过程指标完成情况，2023年预算执行全部完成，财务信息完整准确，管理制度健全，严格执行政府采购制度，资金支付全部执行国库集中支付。得分26分。</w:t>
      </w:r>
    </w:p>
    <w:p w14:paraId="75C4D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产出指标完成情况，项目按设计要求进行实施，完工后进行结算评审，除跨年度实施的项目外，项目都按设计要求完成，跨年度项目扣1分，得分28分。</w:t>
      </w:r>
    </w:p>
    <w:p w14:paraId="3EAAF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效果指标完成情况，经济效益明显，劳动者收入增，服务对象满意，实施的项目绿色环保节能，资料报送及时，得分20分。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年度主要任务完成资金支付得分6.9分，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总体评价得分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 w14:paraId="4AB750AE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三、部门整体支出绩效评价分析</w:t>
      </w:r>
    </w:p>
    <w:p w14:paraId="005F58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（一）投入情况分析 </w:t>
      </w:r>
    </w:p>
    <w:p w14:paraId="162B3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预算编制情况分析：预算编制符合我县国民经济总体规划，数据详实，资料信息完整，年度任务明确，指标设置科学合理，经财政部门审核，符合预算相关规定。</w:t>
      </w:r>
    </w:p>
    <w:p w14:paraId="531AE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预算配置情况分析：单位人员控制在编制以内，三公经费严格按照相关规定执行，2023年接待标准提高，比2022年有所增加。重点项目的支出，优先安排，做到应支尽支。</w:t>
      </w:r>
    </w:p>
    <w:p w14:paraId="2595350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（二）过程情况分析</w:t>
      </w:r>
    </w:p>
    <w:p w14:paraId="4B0BC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预算执行情况分析：2023年预算执行全部完成，增加的预算调整符合相关规定，资金支付及时，严格执行政府采购制度，所有项目都进行了采购。</w:t>
      </w:r>
    </w:p>
    <w:p w14:paraId="168E5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预算管理情况分析：单位管理制度健全，资金支付全部执行国库集中支付，决算信息及时公开，财务信息完整准确，严格执行政府购买服务。</w:t>
      </w:r>
    </w:p>
    <w:p w14:paraId="0741A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资产管理情况分析：单位按相关规定制定了资产管理制度，资产保存完整，帐实相符，处置资产都按相关规定进行了评估和审批，无违规处置资产的现象发生。</w:t>
      </w:r>
    </w:p>
    <w:p w14:paraId="24D8927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（三）产出情况分析</w:t>
      </w:r>
    </w:p>
    <w:p w14:paraId="7E60569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职责履行方面：2023年工作任务都按年初签定的目标责任书完成，根据上级部门的考核，任务完成优于其它县区。各项任务都制定了明确、具体、可量化的绩效指标，项目完成后，及时进行验收、决算、评审。</w:t>
      </w:r>
    </w:p>
    <w:p w14:paraId="0A1FFD6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（四）效益情况分析</w:t>
      </w:r>
    </w:p>
    <w:p w14:paraId="7DA34B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通过项目的实施，促进了行业生产能力增长，也带动了行业经济效益增长，有效提高劳动效率，节约成本费用，行业形象得到提升，增强了部门影响力。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劳动者收入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，周围环境得到了整治，面貌得到了改善。</w:t>
      </w:r>
    </w:p>
    <w:p w14:paraId="6D6DA7A1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四、履职完成情况</w:t>
      </w:r>
    </w:p>
    <w:p w14:paraId="1A7533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（一）严守红线“筑屏障”。一是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zh-CN" w:eastAsia="zh-CN" w:bidi="ar-SA"/>
        </w:rPr>
        <w:t>开展大规模国土绿化行动。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扎实实施“六带”造林绿化工程，完成营造林2.48万亩，义务植树50.8万株，新申报创建森林小镇1个（板桥镇），验收命名省级森林小镇1个（平川镇），建成命名省级乡村绿化示范村11个；实施草原植被恢复费项目，人工种草3190亩，治理退化草原3万亩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eastAsia="zh-CN"/>
        </w:rPr>
        <w:t>二是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加强耕地和永久基本农田保护。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持续加强永久基本农田和耕地保护日常监管，严守61.07万亩耕地保护目标和54.38万亩永久基本农田保护红线，严格落实耕地占补平衡政策，实现建设项目占用补充耕地总量动态平衡。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三是持续推进林果业发展和林权制度改革。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新发展特色林果和木本油料2000亩，建成千亩特色林果示范基地1个。建成种质资源保存圃180亩，收集地方品种种质237份。引进推广林果优良品种12个，示范推广新技术6项。开展集体林权制度配套改革，完成2022年林业贷款贴息项目5个，抚育及森林质量提升工程4000亩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认真开展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林草有害生物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组织对天牛疫区开展疫情排查，排查疑似木、虫害木22052株。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化防队在扎尔墩工业集中区、红沟村林带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杨树天牛树干钻孔注药2.4万株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累计防治4100亩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辖区内草原主要有害生物动态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监测，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鼠虫害防治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3.5万亩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5313C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3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（二）紧盯项目“勤服务”。一是加快构建“多规合一”规划体系。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因地制宜完成66个村村庄规划编制。立足“省级城市化地区和历史文化资源富集区”、县域“农业优先、文旅赋能”主体功能定位，编制完成全县国土空间规划。围绕全县重点建设项目，依法核发“一书三证”行政许可87项。组织召开县城乡规划委员会5次，审议议题17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二是强化自然资源要素保障。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聚焦省市县重点建设项目，上报审批各类建设用地24宗2921.1亩；持续规范设施农业用地管理，审批备案设施农业用地30宗1498.05亩；规范管理临时用地，审批临时用地9宗468.15亩，审批未利用地开发项目7宗5537.85亩；严格建设用地规划和计划管控，全年审批供应国有建设用地4326.15亩，实现土地出让收益8445.35万元。加强草原征占用审核审批，办理永久占用草原项目19个，临时占用草原项目9个。加强林地用途管控，办理建设项目使用林地事项9项，发放林木采伐许可证32份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三是加快处置闲置土地。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认真落实建设用地“增存挂钩”机制，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加强批而未供、供而未用闲置土地处置工作，处置批而未供土地1910.7亩。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四是高标准推进项目建设。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积极争取，组织实施补充耕地、造林绿化及草原生态修复项目11个，到位资金7224万元，完成投资4082万元，目前，已完工项目8个，其他3个项目（南沙窝补充耕地项目、沙化土地封禁保护区补助项目、草原生态修复治理项目）正在有序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14F6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（三）严抓严管“护底线”。一是深入开展“百日攻坚”行动。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紧紧围绕“百日攻坚”八项重点任务，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工作专班，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县政府主要领导、分管领导多次专题调研推动，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专题安排部署，跟进督导，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明确整改措施、完成时限和工作职责。建立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“周报告、旬调度、月通报”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重大问题督办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责任追究等制度，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推动各部门协调联动，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28个自然资源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督察、审计反馈、生态环境问题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全面完成整改。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二是强化自然资源执法监管。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严厉打击破坏自然资源违法行为，核查森林督察反馈疑似图斑735个，土地矿产卫片执法图斑2407个，查处涉林违法案件11件，土地矿产违法案件13件。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加强矿产资源管理。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开出让采矿权7宗，延续2宗，注销2宗，收缴采矿权出让收益2395.25万元。红柳园煤矿探转采获得省厅批复，地热采矿权出让实现全市突破。组织完成非油气矿产资源开发利用统计、矿业权人勘查开采信息公示、矿山储量动态监测工作。实施完成地质勘查项目3个。</w:t>
      </w:r>
    </w:p>
    <w:p w14:paraId="7315A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3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（四）保障民生“增福祉”。一是扎实推进生态及地质灾害避险搬迁。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坚持“统筹规划、应搬尽搬，全面推进、因地制宜”原则，严格落实“四个一”工作机制，2023年确定的342户搬迁任务，已全部搬迁入住，拆除旧宅115户，复垦复绿107户。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二是加强自然灾害防治。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严格落实领导带班和24小时值班值守、灾情速报等制度，转发气象预警信息12期。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定期开展汛前地质灾害隐患点排查检查，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派出检查组4组19人次，检查地质灾害隐患点20处，发放防灾工作明白卡、避险明白卡743份。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全力做好森林草原火灾隐患排查整治，开展森林草原防火检查24场次。全年未发生危险性地质灾害和森林草原火灾。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三是做实统一确权登记工作。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推进城镇住房“登记难”化解工作，累计化解“登记难”问题1759户。全面推进农村房地一体及集体建设用地发证工作，登记发放“房地一体”不动产权证书28159本，完成集体建设用地使用权登记568宗。扎实推进新建商品房“交房即交证”改革工作，落实改革任务11栋758套。深入推进“放管服”改革，全年共办理不动产权登记3843件、预告及抵押登记1617件，协助企业融资16.2亿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u w:val="none"/>
          <w:lang w:eastAsia="zh-CN"/>
        </w:rPr>
        <w:t>四是接续开展帮扶工作。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扎实推进“结对帮扶·爱心临泽”工程建设，科级干部结对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“三类对象”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33户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，帮助解决实际困难问题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个。持续开展巩固拓展脱贫攻坚成果同乡村振兴有效衔接，落实“六必访、六必查”要求，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52名干部下沉3个村88户帮扶户开展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走访慰问、联系帮扶，助力乡村振兴。动员系统干部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为积石山县地震灾害捐款1.2万元，彰显了“一方有难，八方支援”的大爱精神。</w:t>
      </w:r>
    </w:p>
    <w:p w14:paraId="69959331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五、存在的问题</w:t>
      </w:r>
    </w:p>
    <w:p w14:paraId="2FBA3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项目实施过程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，为有效的保证项目建设成效，在项目施工合同中与施工单位约定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质量保证金，致使部分资金支付未按时完成。二是个别上级财政项目资金计划下达较迟，设计、方案批复后，当年无法实施完成。三是跨年度项目实施周期长，验收、结算、评审无法在当年完成，造成资金支付进度缓慢。</w:t>
      </w:r>
    </w:p>
    <w:p w14:paraId="21F51B89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整改措施或建议</w:t>
      </w:r>
    </w:p>
    <w:p w14:paraId="209200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强项目管理，及早设计规划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保障项目按设计方案顺利实施。</w:t>
      </w:r>
    </w:p>
    <w:p w14:paraId="50E1764D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其他需要说明的问题</w:t>
      </w:r>
    </w:p>
    <w:p w14:paraId="2C7F4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实施的项目根据验收和评审结果，资金应及时支付给中标单位，但由于其它原因，项目主管单位做了支付，实际支付平台长时间付不了款，造成项目主管单位资金支付缓慢，受到上级主管部门的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47C52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4342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500FD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临泽县自然资源局</w:t>
      </w:r>
    </w:p>
    <w:p w14:paraId="3A462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5" w:type="default"/>
      <w:footerReference r:id="rId6" w:type="default"/>
      <w:pgSz w:w="11906" w:h="16838"/>
      <w:pgMar w:top="1440" w:right="1474" w:bottom="1440" w:left="1587" w:header="851" w:footer="1417" w:gutter="0"/>
      <w:pgNumType w:fmt="numberInDash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89AA">
    <w:pPr>
      <w:pStyle w:val="8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6A8D2F">
                <w:pPr>
                  <w:pStyle w:val="8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4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MValm6zAQAARQMAAA4AAABkcnMvZTJvRG9jLnhtbK1SwY4TMQy9I/EP&#10;Ue50OoWutqNOV6DVIiQESAsfkGaSTqQkjuJsZ/oD8AecuHDnu/od66TTLoIb4pI4sf38nu31zegs&#10;26uIBnzL69mcM+UldMbvWv7l892La84wCd8JC161/KCQ32yeP1sPoVEL6MF2KjIC8dgMoeV9SqGp&#10;KpS9cgJnEJQnp4boRKJn3FVdFAOhO1st5vOraoDYhQhSIdLv7cnJNwVfayXTR61RJWZbTtxSOWM5&#10;t/msNmvR7KIIvZETDfEPLJwwnopeoG5FEuwhmr+gnJEREHSaSXAVaG2kKhpITT3/Q819L4IqWqg5&#10;GC5twv8HKz/sP0VmOpodZ144GtHx+7fjj1/Hn1/r3J0hYENB94HC0vgGxhw5/SN9ZtGjji7fJIeR&#10;n/p8uPRWjYnJnFS/Wr1ccibJVa+urpel99VTcoiY3ipwLBstjzS60lGxf4+JClLoOSTX8nBnrC3j&#10;s54NLV8tF8uScPFQhvWUmCWcqGYrjdtx4r+F7kCyBhp/yz3tJ2f2nafu5k05G/FsbCcjV8fw+iER&#10;g0Iso56gpmI0q8J32qu8DL+/S9TT9m8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DW/fnQAAAA&#10;AwEAAA8AAAAAAAAAAQAgAAAAIgAAAGRycy9kb3ducmV2LnhtbFBLAQIUABQAAAAIAIdO4kDFWpZu&#10;swEAAEUDAAAOAAAAAAAAAAEAIAAAAB8BAABkcnMvZTJvRG9jLnhtbFBLBQYAAAAABgAGAFkBAABE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F5005A8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E187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5NzhhMTVlOTYzODExMjUzYzRlZjRiYTdhZDFhZmEifQ=="/>
  </w:docVars>
  <w:rsids>
    <w:rsidRoot w:val="0E891585"/>
    <w:rsid w:val="00127541"/>
    <w:rsid w:val="00190816"/>
    <w:rsid w:val="00210448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8373F"/>
    <w:rsid w:val="05D902BD"/>
    <w:rsid w:val="06E201E0"/>
    <w:rsid w:val="07084F30"/>
    <w:rsid w:val="074514C3"/>
    <w:rsid w:val="07EF58A1"/>
    <w:rsid w:val="0819527B"/>
    <w:rsid w:val="08E82583"/>
    <w:rsid w:val="09745809"/>
    <w:rsid w:val="099D2A89"/>
    <w:rsid w:val="0A6D4F24"/>
    <w:rsid w:val="0C441E40"/>
    <w:rsid w:val="0C620E77"/>
    <w:rsid w:val="0C8F394B"/>
    <w:rsid w:val="0CA23CF8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26D7E48"/>
    <w:rsid w:val="13FA103E"/>
    <w:rsid w:val="1421368B"/>
    <w:rsid w:val="14F84E33"/>
    <w:rsid w:val="15344181"/>
    <w:rsid w:val="181747C7"/>
    <w:rsid w:val="181E7240"/>
    <w:rsid w:val="183A0E2A"/>
    <w:rsid w:val="192172B5"/>
    <w:rsid w:val="19AC0DF5"/>
    <w:rsid w:val="1AC82DB5"/>
    <w:rsid w:val="1AFE4936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D64DCD"/>
    <w:rsid w:val="20FF1CE3"/>
    <w:rsid w:val="215B0A1A"/>
    <w:rsid w:val="21966D7F"/>
    <w:rsid w:val="219D643B"/>
    <w:rsid w:val="223203B0"/>
    <w:rsid w:val="22874567"/>
    <w:rsid w:val="24F31ED8"/>
    <w:rsid w:val="25AA29B2"/>
    <w:rsid w:val="26483F30"/>
    <w:rsid w:val="265C1EEB"/>
    <w:rsid w:val="26660934"/>
    <w:rsid w:val="2673108C"/>
    <w:rsid w:val="26984044"/>
    <w:rsid w:val="27722488"/>
    <w:rsid w:val="27F34365"/>
    <w:rsid w:val="29EC456C"/>
    <w:rsid w:val="2A2B58F0"/>
    <w:rsid w:val="2A8C7222"/>
    <w:rsid w:val="2A965067"/>
    <w:rsid w:val="2AEE5EDB"/>
    <w:rsid w:val="2B2A0714"/>
    <w:rsid w:val="2BDB44F0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1F4C6D"/>
    <w:rsid w:val="2E35300E"/>
    <w:rsid w:val="2E5F1904"/>
    <w:rsid w:val="2F124B01"/>
    <w:rsid w:val="307B29B7"/>
    <w:rsid w:val="313F6F61"/>
    <w:rsid w:val="32D218A0"/>
    <w:rsid w:val="330E71A0"/>
    <w:rsid w:val="3366689B"/>
    <w:rsid w:val="33806D65"/>
    <w:rsid w:val="341A0F4F"/>
    <w:rsid w:val="34D86FD8"/>
    <w:rsid w:val="366900D9"/>
    <w:rsid w:val="36B756E5"/>
    <w:rsid w:val="36CC66A9"/>
    <w:rsid w:val="385F541F"/>
    <w:rsid w:val="389742AF"/>
    <w:rsid w:val="39090ACC"/>
    <w:rsid w:val="3A4A475A"/>
    <w:rsid w:val="3A775788"/>
    <w:rsid w:val="3B9A6B59"/>
    <w:rsid w:val="3BDF62D0"/>
    <w:rsid w:val="3CF257A2"/>
    <w:rsid w:val="3D6F5574"/>
    <w:rsid w:val="3DB71999"/>
    <w:rsid w:val="3DFE7E20"/>
    <w:rsid w:val="3EDE6683"/>
    <w:rsid w:val="3FB15639"/>
    <w:rsid w:val="3FF95CCA"/>
    <w:rsid w:val="40E70444"/>
    <w:rsid w:val="41AF1233"/>
    <w:rsid w:val="41FD3407"/>
    <w:rsid w:val="42325117"/>
    <w:rsid w:val="425F6DF0"/>
    <w:rsid w:val="431C4020"/>
    <w:rsid w:val="45316902"/>
    <w:rsid w:val="46560FFD"/>
    <w:rsid w:val="467C7066"/>
    <w:rsid w:val="46A630A7"/>
    <w:rsid w:val="470537CD"/>
    <w:rsid w:val="47385682"/>
    <w:rsid w:val="47CF2E17"/>
    <w:rsid w:val="47DA54D2"/>
    <w:rsid w:val="483161C9"/>
    <w:rsid w:val="48BF5B4C"/>
    <w:rsid w:val="495D1418"/>
    <w:rsid w:val="49877B8F"/>
    <w:rsid w:val="4B46038A"/>
    <w:rsid w:val="4C4B0ACB"/>
    <w:rsid w:val="4CD07276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926A53"/>
    <w:rsid w:val="52A219E3"/>
    <w:rsid w:val="534C5C9D"/>
    <w:rsid w:val="53E939B1"/>
    <w:rsid w:val="5423698A"/>
    <w:rsid w:val="545D7232"/>
    <w:rsid w:val="55120C02"/>
    <w:rsid w:val="55B92675"/>
    <w:rsid w:val="55CA7946"/>
    <w:rsid w:val="56133F87"/>
    <w:rsid w:val="573319C2"/>
    <w:rsid w:val="573F66F7"/>
    <w:rsid w:val="57767448"/>
    <w:rsid w:val="58614B5E"/>
    <w:rsid w:val="586B0DAE"/>
    <w:rsid w:val="58DB507A"/>
    <w:rsid w:val="59744CA8"/>
    <w:rsid w:val="5C434333"/>
    <w:rsid w:val="5C617EA2"/>
    <w:rsid w:val="5CBE3182"/>
    <w:rsid w:val="5D655292"/>
    <w:rsid w:val="5E1060ED"/>
    <w:rsid w:val="5E2B7A29"/>
    <w:rsid w:val="5E5273CC"/>
    <w:rsid w:val="60711C34"/>
    <w:rsid w:val="607F783A"/>
    <w:rsid w:val="60846CF1"/>
    <w:rsid w:val="613C039B"/>
    <w:rsid w:val="630302A6"/>
    <w:rsid w:val="637E428B"/>
    <w:rsid w:val="64E677CE"/>
    <w:rsid w:val="64FF1454"/>
    <w:rsid w:val="65826BA0"/>
    <w:rsid w:val="66F46C93"/>
    <w:rsid w:val="670021E9"/>
    <w:rsid w:val="677F5B67"/>
    <w:rsid w:val="67950BBB"/>
    <w:rsid w:val="67A142C9"/>
    <w:rsid w:val="68396F4F"/>
    <w:rsid w:val="68B33A79"/>
    <w:rsid w:val="69A04E34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6F77220A"/>
    <w:rsid w:val="70051CAA"/>
    <w:rsid w:val="700B69D4"/>
    <w:rsid w:val="705C6487"/>
    <w:rsid w:val="72565AAF"/>
    <w:rsid w:val="725C7D2F"/>
    <w:rsid w:val="72A71511"/>
    <w:rsid w:val="72FC6E43"/>
    <w:rsid w:val="73A56B29"/>
    <w:rsid w:val="74206E10"/>
    <w:rsid w:val="74B9514E"/>
    <w:rsid w:val="74F22E08"/>
    <w:rsid w:val="75797088"/>
    <w:rsid w:val="76466FF6"/>
    <w:rsid w:val="76CA1658"/>
    <w:rsid w:val="7747487C"/>
    <w:rsid w:val="77E23029"/>
    <w:rsid w:val="780853DB"/>
    <w:rsid w:val="78647052"/>
    <w:rsid w:val="78826FCA"/>
    <w:rsid w:val="797F1EE5"/>
    <w:rsid w:val="79BB7C6D"/>
    <w:rsid w:val="7A485754"/>
    <w:rsid w:val="7A646DD9"/>
    <w:rsid w:val="7A6A3A9C"/>
    <w:rsid w:val="7BD062B5"/>
    <w:rsid w:val="7C1A1A27"/>
    <w:rsid w:val="7D6D005F"/>
    <w:rsid w:val="7D8F4F80"/>
    <w:rsid w:val="7DA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semiHidden/>
    <w:qFormat/>
    <w:uiPriority w:val="0"/>
    <w:pPr>
      <w:ind w:left="1000" w:leftChars="1000"/>
    </w:pPr>
  </w:style>
  <w:style w:type="paragraph" w:styleId="3">
    <w:name w:val="Normal Indent"/>
    <w:basedOn w:val="1"/>
    <w:autoRedefine/>
    <w:unhideWhenUsed/>
    <w:qFormat/>
    <w:uiPriority w:val="99"/>
    <w:pPr>
      <w:ind w:firstLine="556"/>
    </w:pPr>
    <w:rPr>
      <w:rFonts w:cs="仿宋_GB2312"/>
      <w:kern w:val="0"/>
    </w:rPr>
  </w:style>
  <w:style w:type="paragraph" w:styleId="4">
    <w:name w:val="caption"/>
    <w:basedOn w:val="1"/>
    <w:next w:val="1"/>
    <w:qFormat/>
    <w:uiPriority w:val="0"/>
    <w:pPr>
      <w:spacing w:line="240" w:lineRule="auto"/>
      <w:ind w:firstLine="0" w:firstLineChars="0"/>
    </w:pPr>
    <w:rPr>
      <w:rFonts w:ascii="Arial" w:hAnsi="Arial" w:eastAsia="黑体" w:cs="Arial"/>
      <w:sz w:val="20"/>
      <w:szCs w:val="20"/>
    </w:rPr>
  </w:style>
  <w:style w:type="paragraph" w:styleId="5">
    <w:name w:val="Body Text"/>
    <w:basedOn w:val="1"/>
    <w:autoRedefine/>
    <w:qFormat/>
    <w:uiPriority w:val="99"/>
    <w:pPr>
      <w:spacing w:after="120"/>
    </w:pPr>
    <w:rPr>
      <w:rFonts w:eastAsia="仿宋_GB2312"/>
      <w:sz w:val="32"/>
    </w:rPr>
  </w:style>
  <w:style w:type="paragraph" w:styleId="6">
    <w:name w:val="Body Text Indent"/>
    <w:basedOn w:val="1"/>
    <w:autoRedefine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7">
    <w:name w:val="Body Text Indent 2"/>
    <w:basedOn w:val="1"/>
    <w:next w:val="1"/>
    <w:autoRedefine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autoRedefine/>
    <w:qFormat/>
    <w:uiPriority w:val="0"/>
    <w:rPr>
      <w:color w:val="444444"/>
      <w:u w:val="none"/>
    </w:rPr>
  </w:style>
  <w:style w:type="character" w:styleId="18">
    <w:name w:val="HTML Cite"/>
    <w:basedOn w:val="13"/>
    <w:autoRedefine/>
    <w:qFormat/>
    <w:uiPriority w:val="0"/>
    <w:rPr>
      <w:i/>
    </w:rPr>
  </w:style>
  <w:style w:type="paragraph" w:customStyle="1" w:styleId="19">
    <w:name w:val="办公自动化专用标题"/>
    <w:basedOn w:val="11"/>
    <w:autoRedefine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20">
    <w:name w:val="hover11"/>
    <w:basedOn w:val="13"/>
    <w:autoRedefine/>
    <w:qFormat/>
    <w:uiPriority w:val="0"/>
  </w:style>
  <w:style w:type="paragraph" w:customStyle="1" w:styleId="21">
    <w:name w:val="UserStyle_0"/>
    <w:basedOn w:val="1"/>
    <w:autoRedefine/>
    <w:qFormat/>
    <w:uiPriority w:val="0"/>
    <w:pPr>
      <w:adjustRightInd/>
      <w:snapToGrid/>
      <w:spacing w:after="0" w:line="276" w:lineRule="auto"/>
      <w:ind w:left="210" w:right="210" w:firstLine="600"/>
      <w:jc w:val="both"/>
      <w:textAlignment w:val="baseline"/>
    </w:pPr>
    <w:rPr>
      <w:rFonts w:ascii="微软雅黑" w:hAnsi="Times New Roman" w:eastAsia="宋体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6943</Words>
  <Characters>7404</Characters>
  <Lines>2</Lines>
  <Paragraphs>1</Paragraphs>
  <TotalTime>1378</TotalTime>
  <ScaleCrop>false</ScaleCrop>
  <LinksUpToDate>false</LinksUpToDate>
  <CharactersWithSpaces>7518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2018-03-06T07:59:00Z</dcterms:created>
  <dc:creator>liulu</dc:creator>
  <cp:lastModifiedBy>Administrator</cp:lastModifiedBy>
  <cp:lastPrinted>2024-01-10T01:55:00Z</cp:lastPrinted>
  <dcterms:modified xsi:type="dcterms:W3CDTF">2024-08-29T04:16:42Z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030CB27FA5274DA6A48E111C25315725</vt:lpwstr>
  </property>
</Properties>
</file>