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AF9E7">
      <w:pPr>
        <w:pStyle w:val="25"/>
        <w:adjustRightInd w:val="0"/>
        <w:snapToGrid w:val="0"/>
        <w:spacing w:before="0" w:after="0"/>
        <w:jc w:val="both"/>
        <w:outlineLvl w:val="9"/>
        <w:rPr>
          <w:rFonts w:ascii="方正小标宋简体" w:hAnsi="仿宋" w:eastAsia="方正小标宋简体" w:cs="Calibri"/>
          <w:b w:val="0"/>
          <w:bCs w:val="0"/>
        </w:rPr>
      </w:pPr>
    </w:p>
    <w:p w14:paraId="3654A607">
      <w:pPr>
        <w:pStyle w:val="25"/>
        <w:adjustRightInd w:val="0"/>
        <w:snapToGrid w:val="0"/>
        <w:spacing w:before="0" w:after="0"/>
        <w:outlineLvl w:val="9"/>
        <w:rPr>
          <w:rFonts w:hint="eastAsia" w:ascii="方正小标宋简体" w:hAnsi="仿宋" w:eastAsia="方正小标宋简体" w:cs="方正小标宋简体"/>
          <w:b/>
          <w:bCs/>
          <w:lang w:val="en-US" w:eastAsia="zh-CN"/>
        </w:rPr>
      </w:pPr>
      <w:r>
        <w:rPr>
          <w:rFonts w:hint="eastAsia" w:ascii="方正小标宋简体" w:hAnsi="仿宋" w:eastAsia="方正小标宋简体" w:cs="方正小标宋简体"/>
          <w:b/>
          <w:bCs/>
        </w:rPr>
        <w:t>临泽县</w:t>
      </w:r>
      <w:r>
        <w:rPr>
          <w:rFonts w:hint="eastAsia" w:ascii="方正小标宋简体" w:hAnsi="仿宋" w:eastAsia="方正小标宋简体" w:cs="方正小标宋简体"/>
          <w:b/>
          <w:bCs/>
          <w:lang w:val="en-US" w:eastAsia="zh-CN"/>
        </w:rPr>
        <w:t>治沙试验站</w:t>
      </w:r>
    </w:p>
    <w:p w14:paraId="551C91F3">
      <w:pPr>
        <w:pStyle w:val="25"/>
        <w:adjustRightInd w:val="0"/>
        <w:snapToGrid w:val="0"/>
        <w:spacing w:before="0" w:after="0"/>
        <w:outlineLvl w:val="9"/>
        <w:rPr>
          <w:rFonts w:hint="eastAsia" w:ascii="方正小标宋简体" w:hAnsi="仿宋" w:eastAsia="方正小标宋简体" w:cs="方正小标宋简体"/>
          <w:b/>
          <w:bCs/>
        </w:rPr>
      </w:pPr>
      <w:r>
        <w:rPr>
          <w:rFonts w:hint="eastAsia" w:ascii="方正小标宋简体" w:hAnsi="仿宋" w:eastAsia="方正小标宋简体" w:cs="方正小标宋简体"/>
          <w:b/>
          <w:bCs/>
        </w:rPr>
        <w:t>整体支出绩效评价报告</w:t>
      </w:r>
    </w:p>
    <w:p w14:paraId="43EC9DED">
      <w:pPr>
        <w:adjustRightInd w:val="0"/>
        <w:snapToGrid w:val="0"/>
        <w:spacing w:line="540" w:lineRule="atLeast"/>
        <w:ind w:firstLine="643" w:firstLineChars="200"/>
        <w:rPr>
          <w:rFonts w:ascii="黑体" w:hAnsi="黑体" w:eastAsia="黑体"/>
          <w:b/>
          <w:bCs/>
        </w:rPr>
      </w:pPr>
    </w:p>
    <w:p w14:paraId="128BB0D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rPr>
      </w:pPr>
      <w:r>
        <w:rPr>
          <w:rFonts w:hint="eastAsia" w:ascii="黑体" w:hAnsi="黑体" w:eastAsia="黑体" w:cs="黑体"/>
        </w:rPr>
        <w:t>一、部门概况</w:t>
      </w:r>
    </w:p>
    <w:p w14:paraId="5A1732ED">
      <w:pPr>
        <w:pStyle w:val="6"/>
        <w:keepNext w:val="0"/>
        <w:keepLines w:val="0"/>
        <w:pageBreakBefore w:val="0"/>
        <w:widowControl w:val="0"/>
        <w:kinsoku/>
        <w:wordWrap/>
        <w:overflowPunct/>
        <w:topLinePunct w:val="0"/>
        <w:autoSpaceDE/>
        <w:autoSpaceDN/>
        <w:bidi w:val="0"/>
        <w:spacing w:line="560" w:lineRule="exact"/>
        <w:ind w:firstLine="643"/>
        <w:textAlignment w:val="auto"/>
        <w:rPr>
          <w:rFonts w:ascii="楷体_GB2312" w:hAnsi="楷体_GB2312" w:eastAsia="楷体_GB2312"/>
          <w:b/>
          <w:bCs/>
        </w:rPr>
      </w:pPr>
      <w:r>
        <w:rPr>
          <w:rFonts w:hint="eastAsia" w:ascii="楷体_GB2312" w:hAnsi="楷体_GB2312" w:eastAsia="楷体_GB2312" w:cs="楷体_GB2312"/>
          <w:b/>
          <w:bCs/>
        </w:rPr>
        <w:t>（一）机构职能</w:t>
      </w:r>
    </w:p>
    <w:p w14:paraId="2133C8FF">
      <w:pPr>
        <w:keepNext w:val="0"/>
        <w:keepLines w:val="0"/>
        <w:pageBreakBefore w:val="0"/>
        <w:kinsoku/>
        <w:wordWrap/>
        <w:overflowPunct/>
        <w:topLinePunct w:val="0"/>
        <w:autoSpaceDE w:val="0"/>
        <w:autoSpaceDN w:val="0"/>
        <w:bidi w:val="0"/>
        <w:adjustRightInd w:val="0"/>
        <w:spacing w:line="560" w:lineRule="exact"/>
        <w:ind w:firstLine="566"/>
        <w:textAlignment w:val="auto"/>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kern w:val="0"/>
          <w:sz w:val="32"/>
          <w:szCs w:val="32"/>
        </w:rPr>
        <w:t>临泽县治沙林场（临泽县治沙试验站）始建于1976年，属财政全额拨款事业单位。核定事业编制6人，现有在职职工6人（其中管理人员1人、专业技术人员2、工勤人员3人），退休职工2人，聘用临时管护人员30人。林场总经营面积99.13万亩，林地面积98.4万亩，其中：国家级公益林34.42万亩，国家沙化土地封禁保护区47.52万亩。林区设置一工城、照北山、顾家井、狼娃山和羊台山5个管护站，其中有四个不通水不通电，地势偏僻、交通不便、通讯不畅。林场主要承担森林资源培育管护、临泽北部荒漠植被封禁保护、防沙治沙、野生动植物保护及生态工程建设等生态公益服务职能。</w:t>
      </w:r>
      <w:r>
        <w:rPr>
          <w:rFonts w:hint="eastAsia" w:ascii="仿宋_GB2312" w:hAnsi="仿宋_GB2312" w:eastAsia="仿宋_GB2312" w:cs="仿宋_GB2312"/>
          <w:color w:val="000000"/>
          <w:shd w:val="clear" w:color="auto" w:fill="FFFFFF"/>
        </w:rPr>
        <w:t>隶属临泽县自然资源局管理，副科级建制，为公益类事业单位。加挂县</w:t>
      </w:r>
      <w:bookmarkStart w:id="0" w:name="_Hlk159839254"/>
      <w:r>
        <w:rPr>
          <w:rFonts w:hint="eastAsia" w:ascii="仿宋_GB2312" w:hAnsi="仿宋_GB2312" w:eastAsia="仿宋_GB2312" w:cs="仿宋_GB2312"/>
          <w:color w:val="000000"/>
          <w:shd w:val="clear" w:color="auto" w:fill="FFFFFF"/>
          <w:lang w:eastAsia="zh-CN"/>
        </w:rPr>
        <w:t>临泽县</w:t>
      </w:r>
      <w:r>
        <w:rPr>
          <w:rFonts w:hint="eastAsia" w:ascii="仿宋_GB2312" w:hAnsi="仿宋_GB2312" w:eastAsia="仿宋_GB2312" w:cs="仿宋_GB2312"/>
          <w:color w:val="000000"/>
          <w:shd w:val="clear" w:color="auto" w:fill="FFFFFF"/>
        </w:rPr>
        <w:t>治沙试验站</w:t>
      </w:r>
      <w:bookmarkEnd w:id="0"/>
      <w:r>
        <w:rPr>
          <w:rFonts w:hint="eastAsia" w:ascii="仿宋_GB2312" w:hAnsi="仿宋_GB2312" w:eastAsia="仿宋_GB2312" w:cs="仿宋_GB2312"/>
          <w:color w:val="000000"/>
          <w:shd w:val="clear" w:color="auto" w:fill="FFFFFF"/>
        </w:rPr>
        <w:t>的牌子,实行一套机构、两个名称，全额拨款事业单位。</w:t>
      </w:r>
    </w:p>
    <w:p w14:paraId="6AB5ED04">
      <w:pPr>
        <w:keepNext w:val="0"/>
        <w:keepLines w:val="0"/>
        <w:pageBreakBefore w:val="0"/>
        <w:kinsoku/>
        <w:wordWrap/>
        <w:overflowPunct/>
        <w:topLinePunct w:val="0"/>
        <w:autoSpaceDE w:val="0"/>
        <w:autoSpaceDN w:val="0"/>
        <w:bidi w:val="0"/>
        <w:adjustRightInd w:val="0"/>
        <w:spacing w:line="560" w:lineRule="exact"/>
        <w:ind w:firstLine="566"/>
        <w:textAlignment w:val="auto"/>
        <w:rPr>
          <w:rFonts w:hint="eastAsia" w:ascii="仿宋_GB2312" w:hAnsi="仿宋_GB2312" w:cs="仿宋_GB2312"/>
        </w:rPr>
      </w:pPr>
      <w:r>
        <w:rPr>
          <w:rFonts w:hint="eastAsia" w:ascii="仿宋_GB2312" w:hAnsi="仿宋_GB2312" w:cs="仿宋_GB2312"/>
          <w:b/>
          <w:bCs/>
        </w:rPr>
        <w:t>主要职责是：</w:t>
      </w:r>
      <w:r>
        <w:rPr>
          <w:rFonts w:ascii="仿宋_GB2312"/>
          <w:b/>
          <w:bCs/>
        </w:rPr>
        <w:br w:type="textWrapping"/>
      </w:r>
      <w:r>
        <w:rPr>
          <w:rFonts w:ascii="仿宋_GB2312" w:hAnsi="仿宋_GB2312" w:cs="仿宋_GB2312"/>
        </w:rPr>
        <w:t xml:space="preserve">    </w:t>
      </w:r>
      <w:r>
        <w:rPr>
          <w:rFonts w:hint="eastAsia" w:ascii="仿宋_GB2312" w:hAnsi="仿宋_GB2312" w:cs="仿宋_GB2312"/>
        </w:rPr>
        <w:t>(一)宣传、贯彻、执行党和国家林业方针政策及法律法规，制定生态公益林保护工程实施方案并组织实施。</w:t>
      </w:r>
    </w:p>
    <w:p w14:paraId="0A7DB836">
      <w:pPr>
        <w:pStyle w:val="6"/>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cs="仿宋_GB2312"/>
        </w:rPr>
      </w:pPr>
      <w:r>
        <w:rPr>
          <w:rFonts w:hint="eastAsia" w:ascii="仿宋_GB2312" w:hAnsi="仿宋_GB2312" w:cs="仿宋_GB2312"/>
        </w:rPr>
        <w:t>(二)保护和合理开发利用经营范围内的自然环境和自然资源，实行最严格的国有林场林地和林木资源管护制度,促进林业产业发展，维护生态平衡，提高森林资源生态功能。</w:t>
      </w:r>
    </w:p>
    <w:p w14:paraId="50A6550C">
      <w:pPr>
        <w:pStyle w:val="6"/>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cs="仿宋_GB2312"/>
        </w:rPr>
      </w:pPr>
      <w:r>
        <w:rPr>
          <w:rFonts w:hint="eastAsia" w:ascii="仿宋_GB2312" w:hAnsi="仿宋_GB2312" w:cs="仿宋_GB2312"/>
        </w:rPr>
        <w:t>(三)开展林场育苗、植树造林、幼林抚育、良种培育、防沙治沙和退化林分改造等工作,做好营造林计划编制、规划设计、施工和检查验收，开展林业草原新品种、新技术的试验示范和推广。</w:t>
      </w:r>
    </w:p>
    <w:p w14:paraId="61EE400F">
      <w:pPr>
        <w:pStyle w:val="6"/>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cs="仿宋_GB2312"/>
        </w:rPr>
      </w:pPr>
      <w:r>
        <w:rPr>
          <w:rFonts w:hint="eastAsia" w:ascii="仿宋_GB2312" w:hAnsi="仿宋_GB2312" w:cs="仿宋_GB2312"/>
        </w:rPr>
        <w:t>(四)负责辖区内公益林管护，组织实施公益林抚育、补植、公益林区划落界等工作。</w:t>
      </w:r>
    </w:p>
    <w:p w14:paraId="7E90982E">
      <w:pPr>
        <w:pStyle w:val="6"/>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cs="仿宋_GB2312"/>
        </w:rPr>
      </w:pPr>
      <w:r>
        <w:rPr>
          <w:rFonts w:hint="eastAsia" w:ascii="仿宋_GB2312" w:hAnsi="仿宋_GB2312" w:cs="仿宋_GB2312"/>
        </w:rPr>
        <w:t>(五)组织实施林业生产、森林资源培育和维护管护站点、巡护林道路、重点生态工程建设等基础设施建设工作,增加森林资源，提高管理范围内森林覆盖率。</w:t>
      </w:r>
    </w:p>
    <w:p w14:paraId="611FAB6E">
      <w:pPr>
        <w:pStyle w:val="6"/>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cs="仿宋_GB2312"/>
        </w:rPr>
      </w:pPr>
      <w:r>
        <w:rPr>
          <w:rFonts w:hint="eastAsia" w:ascii="仿宋_GB2312" w:hAnsi="仿宋_GB2312" w:cs="仿宋_GB2312"/>
        </w:rPr>
        <w:t>(六)承担辖区内森林和草原防火宣传教育工作，制定森林防火措施和扑火预备方案,组织干部职工、群众预防和扑救森林火灾，开展林业生产救灾等防灾减灾工作。</w:t>
      </w:r>
    </w:p>
    <w:p w14:paraId="6F2DFCF8">
      <w:pPr>
        <w:pStyle w:val="6"/>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cs="仿宋_GB2312"/>
        </w:rPr>
      </w:pPr>
      <w:r>
        <w:rPr>
          <w:rFonts w:hint="eastAsia" w:ascii="仿宋_GB2312" w:hAnsi="仿宋_GB2312" w:cs="仿宋_GB2312"/>
        </w:rPr>
        <w:t>(七)依法管护辖区内森林资源，开展打击各种破坏森林草原和野生动植物资源的违法犯罪活动及专项整治工作。</w:t>
      </w:r>
    </w:p>
    <w:p w14:paraId="225519AD">
      <w:pPr>
        <w:pStyle w:val="6"/>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cs="仿宋_GB2312"/>
        </w:rPr>
      </w:pPr>
      <w:r>
        <w:rPr>
          <w:rFonts w:hint="eastAsia" w:ascii="仿宋_GB2312" w:hAnsi="仿宋_GB2312" w:cs="仿宋_GB2312"/>
        </w:rPr>
        <w:t>(八)负责林场内森林资源监测和有害生物、森林病虫害调查防治工作。</w:t>
      </w:r>
    </w:p>
    <w:p w14:paraId="4EE9BC7A">
      <w:pPr>
        <w:pStyle w:val="6"/>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cs="仿宋_GB2312"/>
        </w:rPr>
      </w:pPr>
      <w:r>
        <w:rPr>
          <w:rFonts w:hint="eastAsia" w:ascii="仿宋_GB2312" w:hAnsi="仿宋_GB2312" w:cs="仿宋_GB2312"/>
        </w:rPr>
        <w:t>(九)负责辖区内森林草原资源的调查统计、分析、总结等信息上报工作，做好林木草原资源收集、整理和保护工作。</w:t>
      </w:r>
    </w:p>
    <w:p w14:paraId="522C9700">
      <w:pPr>
        <w:pStyle w:val="6"/>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cs="仿宋_GB2312"/>
        </w:rPr>
      </w:pPr>
      <w:r>
        <w:rPr>
          <w:rFonts w:hint="eastAsia" w:ascii="仿宋_GB2312" w:hAnsi="仿宋_GB2312" w:cs="仿宋_GB2312"/>
        </w:rPr>
        <w:t>(十)负责林场内党的建设、党风廉政建设、意识形态、生态环境保护和安全生产等工作。</w:t>
      </w:r>
    </w:p>
    <w:p w14:paraId="41244609">
      <w:pPr>
        <w:pStyle w:val="6"/>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cs="仿宋_GB2312"/>
        </w:rPr>
      </w:pPr>
      <w:r>
        <w:rPr>
          <w:rFonts w:hint="eastAsia" w:ascii="仿宋_GB2312" w:hAnsi="仿宋_GB2312" w:cs="仿宋_GB2312"/>
        </w:rPr>
        <w:t>(十一)完成主管部门交办的其他工作。</w:t>
      </w:r>
    </w:p>
    <w:p w14:paraId="18321CEE">
      <w:pPr>
        <w:pStyle w:val="6"/>
        <w:keepNext w:val="0"/>
        <w:keepLines w:val="0"/>
        <w:pageBreakBefore w:val="0"/>
        <w:widowControl w:val="0"/>
        <w:kinsoku/>
        <w:wordWrap/>
        <w:overflowPunct/>
        <w:topLinePunct w:val="0"/>
        <w:autoSpaceDE/>
        <w:autoSpaceDN/>
        <w:bidi w:val="0"/>
        <w:spacing w:line="560" w:lineRule="exact"/>
        <w:ind w:firstLine="643"/>
        <w:textAlignment w:val="auto"/>
        <w:rPr>
          <w:rFonts w:ascii="楷体_GB2312" w:hAnsi="楷体_GB2312" w:eastAsia="楷体_GB2312"/>
          <w:b/>
          <w:bCs/>
        </w:rPr>
      </w:pPr>
      <w:r>
        <w:rPr>
          <w:rFonts w:hint="eastAsia" w:ascii="楷体_GB2312" w:hAnsi="楷体_GB2312" w:eastAsia="楷体_GB2312" w:cs="楷体_GB2312"/>
          <w:b/>
          <w:bCs/>
        </w:rPr>
        <w:t>（二）组织机构设置及人员构成情况</w:t>
      </w:r>
    </w:p>
    <w:p w14:paraId="3AF72A83">
      <w:pPr>
        <w:pStyle w:val="6"/>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cs="仿宋_GB2312"/>
        </w:rPr>
      </w:pPr>
      <w:r>
        <w:rPr>
          <w:rFonts w:hint="eastAsia" w:ascii="仿宋_GB2312" w:hAnsi="仿宋_GB2312" w:cs="仿宋_GB2312"/>
          <w:lang w:eastAsia="zh-CN"/>
        </w:rPr>
        <w:t>临泽</w:t>
      </w:r>
      <w:r>
        <w:rPr>
          <w:rFonts w:hint="eastAsia" w:ascii="仿宋_GB2312" w:hAnsi="仿宋_GB2312" w:cs="仿宋_GB2312"/>
        </w:rPr>
        <w:t>治沙试验站内设机构有：办公室、资源管护</w:t>
      </w:r>
      <w:r>
        <w:rPr>
          <w:rFonts w:hint="eastAsia" w:ascii="仿宋_GB2312" w:hAnsi="仿宋_GB2312" w:cs="仿宋_GB2312"/>
          <w:lang w:eastAsia="zh-CN"/>
        </w:rPr>
        <w:t>组</w:t>
      </w:r>
      <w:r>
        <w:rPr>
          <w:rFonts w:hint="eastAsia" w:ascii="仿宋_GB2312" w:hAnsi="仿宋_GB2312" w:cs="仿宋_GB2312"/>
        </w:rPr>
        <w:t>、工程技术</w:t>
      </w:r>
      <w:r>
        <w:rPr>
          <w:rFonts w:hint="eastAsia" w:ascii="仿宋_GB2312" w:hAnsi="仿宋_GB2312" w:cs="仿宋_GB2312"/>
          <w:lang w:eastAsia="zh-CN"/>
        </w:rPr>
        <w:t>组、安全生产和森林防火组</w:t>
      </w:r>
      <w:r>
        <w:rPr>
          <w:rFonts w:hint="eastAsia" w:ascii="仿宋_GB2312" w:hAnsi="仿宋_GB2312" w:cs="仿宋_GB2312"/>
        </w:rPr>
        <w:t>。有</w:t>
      </w:r>
      <w:bookmarkStart w:id="1" w:name="_Hlk159839400"/>
      <w:r>
        <w:rPr>
          <w:rFonts w:hint="eastAsia" w:ascii="仿宋_GB2312" w:hAnsi="仿宋_GB2312" w:cs="仿宋_GB2312"/>
        </w:rPr>
        <w:t>全额拨款事业</w:t>
      </w:r>
      <w:bookmarkEnd w:id="1"/>
      <w:r>
        <w:rPr>
          <w:rFonts w:hint="eastAsia" w:ascii="仿宋_GB2312" w:hAnsi="仿宋_GB2312" w:cs="仿宋_GB2312"/>
        </w:rPr>
        <w:t>编制 6名。</w:t>
      </w:r>
    </w:p>
    <w:p w14:paraId="38488C67">
      <w:pPr>
        <w:pStyle w:val="6"/>
        <w:keepNext w:val="0"/>
        <w:keepLines w:val="0"/>
        <w:pageBreakBefore w:val="0"/>
        <w:widowControl w:val="0"/>
        <w:kinsoku/>
        <w:wordWrap/>
        <w:overflowPunct/>
        <w:topLinePunct w:val="0"/>
        <w:autoSpaceDE/>
        <w:autoSpaceDN/>
        <w:bidi w:val="0"/>
        <w:spacing w:line="560" w:lineRule="exact"/>
        <w:ind w:firstLine="643"/>
        <w:textAlignment w:val="auto"/>
        <w:rPr>
          <w:rFonts w:ascii="楷体_GB2312" w:hAnsi="楷体_GB2312" w:eastAsia="楷体_GB2312"/>
          <w:b/>
          <w:bCs/>
        </w:rPr>
      </w:pPr>
      <w:r>
        <w:rPr>
          <w:rFonts w:hint="eastAsia" w:ascii="楷体_GB2312" w:hAnsi="楷体_GB2312" w:eastAsia="楷体_GB2312" w:cs="楷体_GB2312"/>
          <w:b/>
          <w:bCs/>
        </w:rPr>
        <w:t>（三）部门整体预算批复及支出安排情况</w:t>
      </w:r>
    </w:p>
    <w:p w14:paraId="1407D232">
      <w:pPr>
        <w:pStyle w:val="6"/>
        <w:keepNext w:val="0"/>
        <w:keepLines w:val="0"/>
        <w:pageBreakBefore w:val="0"/>
        <w:widowControl w:val="0"/>
        <w:kinsoku/>
        <w:wordWrap/>
        <w:overflowPunct/>
        <w:topLinePunct w:val="0"/>
        <w:autoSpaceDE/>
        <w:autoSpaceDN/>
        <w:bidi w:val="0"/>
        <w:spacing w:line="560" w:lineRule="exact"/>
        <w:ind w:left="640" w:leftChars="200" w:firstLine="0" w:firstLineChars="0"/>
        <w:textAlignment w:val="auto"/>
        <w:rPr>
          <w:rFonts w:ascii="仿宋_GB2312"/>
          <w:b/>
          <w:bCs/>
        </w:rPr>
      </w:pPr>
      <w:r>
        <w:rPr>
          <w:rFonts w:hint="eastAsia" w:ascii="仿宋_GB2312" w:hAnsi="仿宋_GB2312" w:cs="仿宋_GB2312"/>
          <w:b/>
          <w:bCs/>
        </w:rPr>
        <w:t>（</w:t>
      </w:r>
      <w:r>
        <w:rPr>
          <w:rFonts w:ascii="仿宋_GB2312" w:hAnsi="仿宋_GB2312" w:cs="仿宋_GB2312"/>
          <w:b/>
          <w:bCs/>
        </w:rPr>
        <w:t>1</w:t>
      </w:r>
      <w:r>
        <w:rPr>
          <w:rFonts w:hint="eastAsia" w:ascii="仿宋_GB2312" w:hAnsi="仿宋_GB2312" w:cs="仿宋_GB2312"/>
          <w:b/>
          <w:bCs/>
        </w:rPr>
        <w:t>）</w:t>
      </w:r>
      <w:r>
        <w:rPr>
          <w:rFonts w:hint="eastAsia" w:ascii="楷体_GB2312" w:hAnsi="楷体_GB2312" w:eastAsia="楷体_GB2312" w:cs="楷体_GB2312"/>
          <w:b/>
          <w:bCs/>
        </w:rPr>
        <w:t>县本级</w:t>
      </w:r>
      <w:r>
        <w:rPr>
          <w:rFonts w:hint="eastAsia" w:ascii="仿宋_GB2312" w:hAnsi="仿宋_GB2312" w:cs="仿宋_GB2312"/>
          <w:b/>
          <w:bCs/>
        </w:rPr>
        <w:t>财政资金预算执行情况</w:t>
      </w:r>
    </w:p>
    <w:p w14:paraId="5A4A7785">
      <w:pPr>
        <w:keepNext w:val="0"/>
        <w:keepLines w:val="0"/>
        <w:pageBreakBefore w:val="0"/>
        <w:widowControl/>
        <w:kinsoku/>
        <w:wordWrap/>
        <w:overflowPunct/>
        <w:topLinePunct w:val="0"/>
        <w:autoSpaceDE/>
        <w:autoSpaceDN/>
        <w:bidi w:val="0"/>
        <w:adjustRightInd/>
        <w:snapToGrid/>
        <w:spacing w:before="100" w:beforeLines="0" w:after="100" w:afterLines="0"/>
        <w:ind w:firstLine="640" w:firstLineChars="200"/>
        <w:jc w:val="left"/>
        <w:textAlignment w:val="auto"/>
        <w:rPr>
          <w:rFonts w:hint="eastAsia" w:ascii="仿宋_GB2312" w:eastAsia="仿宋_GB2312"/>
          <w:color w:val="FF0000"/>
          <w:lang w:eastAsia="zh-CN"/>
        </w:rPr>
      </w:pPr>
      <w:r>
        <w:rPr>
          <w:rFonts w:ascii="仿宋_GB2312" w:hAnsi="仿宋_GB2312" w:cs="仿宋_GB2312"/>
          <w:color w:val="000000" w:themeColor="text1"/>
          <w14:textFill>
            <w14:solidFill>
              <w14:schemeClr w14:val="tx1"/>
            </w14:solidFill>
          </w14:textFill>
        </w:rPr>
        <w:t>2023</w:t>
      </w:r>
      <w:r>
        <w:rPr>
          <w:rFonts w:hint="eastAsia" w:ascii="仿宋_GB2312" w:hAnsi="仿宋_GB2312" w:cs="仿宋_GB2312"/>
          <w:color w:val="000000" w:themeColor="text1"/>
          <w14:textFill>
            <w14:solidFill>
              <w14:schemeClr w14:val="tx1"/>
            </w14:solidFill>
          </w14:textFill>
        </w:rPr>
        <w:t>年我站县级财政资金总计</w:t>
      </w:r>
      <w:r>
        <w:rPr>
          <w:rFonts w:hint="eastAsia" w:ascii="仿宋_GB2312" w:hAnsi="仿宋_GB2312" w:eastAsia="仿宋_GB2312" w:cs="仿宋_GB2312"/>
          <w:color w:val="auto"/>
          <w:sz w:val="32"/>
          <w:szCs w:val="32"/>
          <w:lang w:val="zh-CN"/>
        </w:rPr>
        <w:t>395</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zh-CN"/>
        </w:rPr>
        <w:t>34万元</w:t>
      </w:r>
      <w:r>
        <w:rPr>
          <w:rFonts w:hint="eastAsia" w:ascii="仿宋_GB2312" w:hAnsi="仿宋_GB2312" w:cs="仿宋_GB2312"/>
          <w:color w:val="auto"/>
          <w:sz w:val="32"/>
          <w:szCs w:val="32"/>
          <w:lang w:val="zh-CN"/>
        </w:rPr>
        <w:t>，</w:t>
      </w:r>
      <w:r>
        <w:rPr>
          <w:rFonts w:hint="eastAsia" w:ascii="仿宋_GB2312" w:hAnsi="仿宋_GB2312" w:eastAsia="仿宋_GB2312" w:cs="仿宋_GB2312"/>
          <w:color w:val="auto"/>
          <w:sz w:val="32"/>
          <w:szCs w:val="32"/>
          <w:lang w:val="zh-CN"/>
        </w:rPr>
        <w:t>其中：基本支出80.62万元,</w:t>
      </w:r>
      <w:r>
        <w:rPr>
          <w:rFonts w:hint="eastAsia" w:ascii="仿宋_GB2312" w:hAnsi="仿宋_GB2312" w:cs="仿宋_GB2312"/>
          <w:sz w:val="32"/>
          <w:szCs w:val="32"/>
          <w:shd w:val="clear" w:color="auto" w:fill="FFFFFF"/>
          <w:lang w:eastAsia="zh-CN"/>
        </w:rPr>
        <w:t>主要</w:t>
      </w:r>
      <w:r>
        <w:rPr>
          <w:rFonts w:hint="eastAsia" w:ascii="仿宋_GB2312" w:hAnsi="仿宋_GB2312" w:eastAsia="仿宋_GB2312" w:cs="仿宋_GB2312"/>
          <w:sz w:val="32"/>
          <w:szCs w:val="32"/>
          <w:shd w:val="clear" w:color="auto" w:fill="FFFFFF"/>
        </w:rPr>
        <w:t>是</w:t>
      </w:r>
      <w:r>
        <w:rPr>
          <w:rFonts w:hint="eastAsia" w:ascii="仿宋_GB2312" w:hAnsi="仿宋_GB2312" w:cs="仿宋_GB2312"/>
          <w:sz w:val="32"/>
          <w:szCs w:val="32"/>
          <w:shd w:val="clear" w:color="auto" w:fill="FFFFFF"/>
          <w:lang w:eastAsia="zh-CN"/>
        </w:rPr>
        <w:t>人员</w:t>
      </w:r>
      <w:r>
        <w:rPr>
          <w:rFonts w:hint="eastAsia" w:ascii="仿宋_GB2312" w:eastAsia="仿宋_GB2312"/>
          <w:sz w:val="32"/>
          <w:szCs w:val="32"/>
        </w:rPr>
        <w:t>基本工资</w:t>
      </w:r>
      <w:r>
        <w:rPr>
          <w:rFonts w:hint="eastAsia" w:ascii="仿宋_GB2312"/>
          <w:sz w:val="32"/>
          <w:szCs w:val="32"/>
          <w:lang w:eastAsia="zh-CN"/>
        </w:rPr>
        <w:t>和福利资金。</w:t>
      </w:r>
      <w:r>
        <w:rPr>
          <w:rFonts w:hint="eastAsia" w:ascii="仿宋_GB2312" w:hAnsi="仿宋_GB2312" w:eastAsia="仿宋_GB2312" w:cs="仿宋_GB2312"/>
          <w:color w:val="auto"/>
          <w:sz w:val="32"/>
          <w:szCs w:val="32"/>
          <w:lang w:val="zh-CN"/>
        </w:rPr>
        <w:t>项目支出314.72万元</w:t>
      </w:r>
      <w:r>
        <w:rPr>
          <w:rFonts w:hint="eastAsia" w:ascii="仿宋_GB2312" w:hAnsi="仿宋_GB2312" w:cs="仿宋_GB2312"/>
          <w:color w:val="auto"/>
          <w:sz w:val="32"/>
          <w:szCs w:val="32"/>
          <w:lang w:val="zh-CN"/>
        </w:rPr>
        <w:t>。</w:t>
      </w:r>
    </w:p>
    <w:p w14:paraId="3F3C2757">
      <w:pPr>
        <w:pStyle w:val="6"/>
        <w:keepNext w:val="0"/>
        <w:keepLines w:val="0"/>
        <w:pageBreakBefore w:val="0"/>
        <w:widowControl w:val="0"/>
        <w:kinsoku/>
        <w:wordWrap/>
        <w:overflowPunct/>
        <w:topLinePunct w:val="0"/>
        <w:autoSpaceDE/>
        <w:autoSpaceDN/>
        <w:bidi w:val="0"/>
        <w:spacing w:line="560" w:lineRule="exact"/>
        <w:ind w:left="640" w:leftChars="200" w:firstLine="0" w:firstLineChars="0"/>
        <w:textAlignment w:val="auto"/>
        <w:rPr>
          <w:rFonts w:ascii="仿宋_GB2312"/>
          <w:b/>
          <w:bCs/>
        </w:rPr>
      </w:pPr>
      <w:r>
        <w:rPr>
          <w:rFonts w:hint="eastAsia" w:ascii="仿宋_GB2312" w:hAnsi="仿宋_GB2312" w:cs="仿宋_GB2312"/>
          <w:b/>
          <w:bCs/>
        </w:rPr>
        <w:t>（</w:t>
      </w:r>
      <w:r>
        <w:rPr>
          <w:rFonts w:ascii="仿宋_GB2312" w:hAnsi="仿宋_GB2312" w:cs="仿宋_GB2312"/>
          <w:b/>
          <w:bCs/>
        </w:rPr>
        <w:t>2</w:t>
      </w:r>
      <w:r>
        <w:rPr>
          <w:rFonts w:hint="eastAsia" w:ascii="仿宋_GB2312" w:hAnsi="仿宋_GB2312" w:cs="仿宋_GB2312"/>
          <w:b/>
          <w:bCs/>
        </w:rPr>
        <w:t>）上级下达部门资金预算执行完成情况</w:t>
      </w:r>
    </w:p>
    <w:p w14:paraId="61C97033">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rPr>
      </w:pPr>
      <w:r>
        <w:rPr>
          <w:rFonts w:ascii="仿宋_GB2312" w:hAnsi="仿宋_GB2312" w:cs="仿宋_GB2312"/>
        </w:rPr>
        <w:t>2023</w:t>
      </w:r>
      <w:r>
        <w:rPr>
          <w:rFonts w:hint="eastAsia" w:ascii="仿宋_GB2312" w:hAnsi="仿宋_GB2312" w:cs="仿宋_GB2312"/>
        </w:rPr>
        <w:t>年我站实施的上级转移支付项目共计</w:t>
      </w:r>
      <w:r>
        <w:rPr>
          <w:rFonts w:hint="eastAsia" w:ascii="仿宋_GB2312" w:hAnsi="仿宋_GB2312" w:cs="仿宋_GB2312"/>
          <w:lang w:val="en-US" w:eastAsia="zh-CN"/>
        </w:rPr>
        <w:t>2</w:t>
      </w:r>
      <w:r>
        <w:rPr>
          <w:rFonts w:hint="eastAsia" w:ascii="仿宋_GB2312" w:hAnsi="仿宋_GB2312" w:cs="仿宋_GB2312"/>
        </w:rPr>
        <w:t>个，项目资金</w:t>
      </w:r>
      <w:r>
        <w:rPr>
          <w:rFonts w:hint="eastAsia" w:ascii="仿宋_GB2312" w:hAnsi="仿宋_GB2312" w:cs="仿宋_GB2312"/>
          <w:lang w:val="en-US" w:eastAsia="zh-CN"/>
        </w:rPr>
        <w:t>224</w:t>
      </w:r>
      <w:r>
        <w:rPr>
          <w:rFonts w:hint="eastAsia" w:ascii="仿宋_GB2312" w:hAnsi="仿宋_GB2312" w:cs="仿宋_GB2312"/>
        </w:rPr>
        <w:t>万元。</w:t>
      </w:r>
    </w:p>
    <w:p w14:paraId="2712AC74">
      <w:pPr>
        <w:pStyle w:val="6"/>
        <w:keepNext w:val="0"/>
        <w:keepLines w:val="0"/>
        <w:pageBreakBefore w:val="0"/>
        <w:widowControl w:val="0"/>
        <w:kinsoku/>
        <w:wordWrap/>
        <w:overflowPunct/>
        <w:topLinePunct w:val="0"/>
        <w:autoSpaceDE/>
        <w:autoSpaceDN/>
        <w:bidi w:val="0"/>
        <w:spacing w:line="560" w:lineRule="exact"/>
        <w:ind w:left="640" w:leftChars="200" w:firstLine="0" w:firstLineChars="0"/>
        <w:textAlignment w:val="auto"/>
        <w:rPr>
          <w:rFonts w:ascii="仿宋_GB2312"/>
          <w:b/>
          <w:bCs/>
        </w:rPr>
      </w:pPr>
      <w:r>
        <w:rPr>
          <w:rFonts w:hint="eastAsia" w:ascii="仿宋_GB2312" w:hAnsi="仿宋_GB2312" w:cs="仿宋_GB2312"/>
          <w:b/>
          <w:bCs/>
        </w:rPr>
        <w:t>（</w:t>
      </w:r>
      <w:r>
        <w:rPr>
          <w:rFonts w:ascii="仿宋_GB2312" w:hAnsi="仿宋_GB2312" w:cs="仿宋_GB2312"/>
          <w:b/>
          <w:bCs/>
        </w:rPr>
        <w:t>3</w:t>
      </w:r>
      <w:r>
        <w:rPr>
          <w:rFonts w:hint="eastAsia" w:ascii="仿宋_GB2312" w:hAnsi="仿宋_GB2312" w:cs="仿宋_GB2312"/>
          <w:b/>
          <w:bCs/>
        </w:rPr>
        <w:t>）上级下达部门资金预算执行未完成情况</w:t>
      </w:r>
    </w:p>
    <w:p w14:paraId="453ADE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rPr>
      </w:pPr>
      <w:r>
        <w:rPr>
          <w:rFonts w:hint="eastAsia" w:ascii="黑体" w:hAnsi="黑体" w:eastAsia="黑体" w:cs="黑体"/>
        </w:rPr>
        <w:t>二、评价工作开展</w:t>
      </w:r>
    </w:p>
    <w:p w14:paraId="41004018">
      <w:pPr>
        <w:pStyle w:val="6"/>
        <w:keepNext w:val="0"/>
        <w:keepLines w:val="0"/>
        <w:pageBreakBefore w:val="0"/>
        <w:widowControl w:val="0"/>
        <w:kinsoku/>
        <w:wordWrap/>
        <w:overflowPunct/>
        <w:topLinePunct w:val="0"/>
        <w:autoSpaceDE/>
        <w:autoSpaceDN/>
        <w:bidi w:val="0"/>
        <w:spacing w:line="560" w:lineRule="exact"/>
        <w:ind w:firstLine="643"/>
        <w:textAlignment w:val="auto"/>
        <w:rPr>
          <w:rFonts w:ascii="楷体_GB2312" w:hAnsi="楷体_GB2312" w:eastAsia="楷体_GB2312"/>
          <w:b/>
          <w:bCs/>
        </w:rPr>
      </w:pPr>
      <w:r>
        <w:rPr>
          <w:rFonts w:hint="eastAsia" w:ascii="楷体_GB2312" w:hAnsi="楷体_GB2312" w:eastAsia="楷体_GB2312" w:cs="楷体_GB2312"/>
          <w:b/>
          <w:bCs/>
        </w:rPr>
        <w:t>（一）绩效评价实施过程</w:t>
      </w:r>
    </w:p>
    <w:p w14:paraId="7E00A07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color w:val="121212"/>
        </w:rPr>
      </w:pPr>
      <w:r>
        <w:rPr>
          <w:rFonts w:hint="eastAsia" w:ascii="仿宋_GB2312" w:hAnsi="仿宋_GB2312" w:cs="仿宋_GB2312"/>
        </w:rPr>
        <w:t>根据</w:t>
      </w:r>
      <w:r>
        <w:rPr>
          <w:rFonts w:hint="eastAsia" w:ascii="仿宋_GB2312" w:hAnsi="仿宋_GB2312" w:cs="仿宋_GB2312"/>
          <w:color w:val="000000"/>
          <w:shd w:val="clear" w:color="auto" w:fill="FFFFFF"/>
        </w:rPr>
        <w:t>《</w:t>
      </w:r>
      <w:r>
        <w:rPr>
          <w:rFonts w:hint="eastAsia" w:ascii="仿宋_GB2312" w:hAnsi="仿宋_GB2312" w:cs="仿宋_GB2312"/>
        </w:rPr>
        <w:t>临泽县财政局关于开展</w:t>
      </w:r>
      <w:r>
        <w:rPr>
          <w:rFonts w:ascii="仿宋_GB2312" w:hAnsi="仿宋_GB2312" w:cs="仿宋_GB2312"/>
        </w:rPr>
        <w:t>2023</w:t>
      </w:r>
      <w:r>
        <w:rPr>
          <w:rFonts w:hint="eastAsia" w:ascii="仿宋_GB2312" w:hAnsi="仿宋_GB2312" w:cs="仿宋_GB2312"/>
        </w:rPr>
        <w:t>年绩效评价工作的通知</w:t>
      </w:r>
      <w:r>
        <w:rPr>
          <w:rFonts w:hint="eastAsia" w:ascii="仿宋_GB2312" w:hAnsi="仿宋_GB2312" w:cs="仿宋_GB2312"/>
          <w:color w:val="000000"/>
          <w:shd w:val="clear" w:color="auto" w:fill="FFFFFF"/>
        </w:rPr>
        <w:t>》精神，我站高度重视，召开会议进行了安排布署，结合本单位工作实际，对</w:t>
      </w:r>
      <w:r>
        <w:rPr>
          <w:rFonts w:ascii="仿宋_GB2312" w:hAnsi="仿宋_GB2312" w:cs="仿宋_GB2312"/>
          <w:color w:val="000000"/>
          <w:shd w:val="clear" w:color="auto" w:fill="FFFFFF"/>
        </w:rPr>
        <w:t>2023</w:t>
      </w:r>
      <w:r>
        <w:rPr>
          <w:rFonts w:hint="eastAsia" w:ascii="仿宋_GB2312" w:hAnsi="仿宋_GB2312" w:cs="仿宋_GB2312"/>
          <w:color w:val="000000"/>
          <w:shd w:val="clear" w:color="auto" w:fill="FFFFFF"/>
        </w:rPr>
        <w:t>年实施的所有财政资金项目进行了梳理，组织相关单位对实施的项目进行了检查验收，并根据预算和绩效管理相关规定，对实施的项目进行了绩效评价和总结。</w:t>
      </w:r>
      <w:r>
        <w:rPr>
          <w:rFonts w:hint="eastAsia" w:ascii="仿宋_GB2312" w:hAnsi="仿宋_GB2312" w:cs="仿宋_GB2312"/>
          <w:color w:val="121212"/>
        </w:rPr>
        <w:t>一是单位成立了</w:t>
      </w:r>
      <w:bookmarkStart w:id="2" w:name="_Hlk159839844"/>
      <w:r>
        <w:rPr>
          <w:rFonts w:hint="eastAsia" w:ascii="仿宋_GB2312" w:hAnsi="仿宋_GB2312" w:cs="仿宋_GB2312"/>
          <w:color w:val="121212"/>
        </w:rPr>
        <w:t>预算绩效管理领导小组</w:t>
      </w:r>
      <w:bookmarkEnd w:id="2"/>
      <w:r>
        <w:rPr>
          <w:rFonts w:hint="eastAsia" w:ascii="仿宋_GB2312" w:hAnsi="仿宋_GB2312" w:cs="仿宋_GB2312"/>
          <w:color w:val="121212"/>
        </w:rPr>
        <w:t>，并指定专人负责预算绩效管理工作。成立项目评价工作小组，制定项目</w:t>
      </w:r>
      <w:r>
        <w:rPr>
          <w:rFonts w:hint="eastAsia" w:ascii="仿宋_GB2312" w:hAnsi="仿宋_GB2312" w:cs="仿宋_GB2312"/>
          <w:color w:val="121212"/>
          <w:lang w:val="en-US" w:eastAsia="zh-CN"/>
        </w:rPr>
        <w:t>+</w:t>
      </w:r>
      <w:r>
        <w:rPr>
          <w:rFonts w:hint="eastAsia" w:ascii="仿宋_GB2312" w:hAnsi="仿宋_GB2312" w:cs="仿宋_GB2312"/>
          <w:color w:val="121212"/>
        </w:rPr>
        <w:t>工作计划；二是对参与的项目整理初步资料，绩效评价人员赴项目现场调研，三是预算绩效管理领导小组联合项目评价小组及参与项目实施人员，根据项目评价指标体系及评价方案对项目做出评价，并形成评价报告。</w:t>
      </w:r>
    </w:p>
    <w:p w14:paraId="4A157B67">
      <w:pPr>
        <w:pStyle w:val="6"/>
        <w:keepNext w:val="0"/>
        <w:keepLines w:val="0"/>
        <w:pageBreakBefore w:val="0"/>
        <w:widowControl w:val="0"/>
        <w:kinsoku/>
        <w:wordWrap/>
        <w:overflowPunct/>
        <w:topLinePunct w:val="0"/>
        <w:autoSpaceDE/>
        <w:autoSpaceDN/>
        <w:bidi w:val="0"/>
        <w:spacing w:line="560" w:lineRule="exact"/>
        <w:ind w:firstLine="643"/>
        <w:textAlignment w:val="auto"/>
        <w:rPr>
          <w:rFonts w:ascii="楷体_GB2312" w:hAnsi="楷体_GB2312" w:eastAsia="楷体_GB2312"/>
          <w:b/>
          <w:bCs/>
        </w:rPr>
      </w:pPr>
      <w:r>
        <w:rPr>
          <w:rFonts w:hint="eastAsia" w:ascii="楷体_GB2312" w:hAnsi="楷体_GB2312" w:eastAsia="楷体_GB2312" w:cs="楷体_GB2312"/>
          <w:b/>
          <w:bCs/>
        </w:rPr>
        <w:t>（二）绩效评价整体结果概况</w:t>
      </w:r>
    </w:p>
    <w:p w14:paraId="266F0492">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rPr>
      </w:pPr>
      <w:r>
        <w:rPr>
          <w:rFonts w:hint="eastAsia" w:ascii="仿宋_GB2312" w:hAnsi="仿宋_GB2312" w:cs="仿宋_GB2312"/>
        </w:rPr>
        <w:t>投入指标情况，预算编制符合国民经济总体规划，资料信息完整，年度任务明确，指标设置科学合理，经财政部门审核，符合预算相关规定。得分</w:t>
      </w:r>
      <w:r>
        <w:rPr>
          <w:rFonts w:ascii="仿宋_GB2312" w:hAnsi="仿宋_GB2312" w:cs="仿宋_GB2312"/>
        </w:rPr>
        <w:t>15</w:t>
      </w:r>
      <w:r>
        <w:rPr>
          <w:rFonts w:hint="eastAsia" w:ascii="仿宋_GB2312" w:hAnsi="仿宋_GB2312" w:cs="仿宋_GB2312"/>
        </w:rPr>
        <w:t>分。</w:t>
      </w:r>
    </w:p>
    <w:p w14:paraId="5EAD8963">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rPr>
      </w:pPr>
      <w:r>
        <w:rPr>
          <w:rFonts w:hint="eastAsia" w:ascii="仿宋_GB2312" w:hAnsi="仿宋_GB2312" w:cs="仿宋_GB2312"/>
        </w:rPr>
        <w:t>过程指标完成情况，</w:t>
      </w:r>
      <w:r>
        <w:rPr>
          <w:rFonts w:ascii="仿宋_GB2312" w:hAnsi="仿宋_GB2312" w:cs="仿宋_GB2312"/>
        </w:rPr>
        <w:t>2023</w:t>
      </w:r>
      <w:r>
        <w:rPr>
          <w:rFonts w:hint="eastAsia" w:ascii="仿宋_GB2312" w:hAnsi="仿宋_GB2312" w:cs="仿宋_GB2312"/>
        </w:rPr>
        <w:t>年预算执行全部完成，财务信息完整准确，管理制度健全，严格执行政府采购制度，资金支付全部执行国库集中支付。得分</w:t>
      </w:r>
      <w:r>
        <w:rPr>
          <w:rFonts w:ascii="仿宋_GB2312" w:hAnsi="仿宋_GB2312" w:cs="仿宋_GB2312"/>
        </w:rPr>
        <w:t>26</w:t>
      </w:r>
      <w:r>
        <w:rPr>
          <w:rFonts w:hint="eastAsia" w:ascii="仿宋_GB2312" w:hAnsi="仿宋_GB2312" w:cs="仿宋_GB2312"/>
        </w:rPr>
        <w:t>分。</w:t>
      </w:r>
    </w:p>
    <w:p w14:paraId="5204C7FE">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rPr>
      </w:pPr>
      <w:r>
        <w:rPr>
          <w:rFonts w:hint="eastAsia" w:ascii="仿宋_GB2312" w:hAnsi="仿宋_GB2312" w:cs="仿宋_GB2312"/>
        </w:rPr>
        <w:t>产出指标完成情况，项目按设计要求进行实施，完工后进行结算评审，除跨年度实施的项目外，项目都按设计要求完成，跨年度项目扣</w:t>
      </w:r>
      <w:r>
        <w:rPr>
          <w:rFonts w:ascii="仿宋_GB2312" w:hAnsi="仿宋_GB2312" w:cs="仿宋_GB2312"/>
        </w:rPr>
        <w:t>1</w:t>
      </w:r>
      <w:r>
        <w:rPr>
          <w:rFonts w:hint="eastAsia" w:ascii="仿宋_GB2312" w:hAnsi="仿宋_GB2312" w:cs="仿宋_GB2312"/>
        </w:rPr>
        <w:t>分，得分</w:t>
      </w:r>
      <w:r>
        <w:rPr>
          <w:rFonts w:ascii="仿宋_GB2312" w:hAnsi="仿宋_GB2312" w:cs="仿宋_GB2312"/>
        </w:rPr>
        <w:t>28</w:t>
      </w:r>
      <w:r>
        <w:rPr>
          <w:rFonts w:hint="eastAsia" w:ascii="仿宋_GB2312" w:hAnsi="仿宋_GB2312" w:cs="仿宋_GB2312"/>
        </w:rPr>
        <w:t>分。</w:t>
      </w:r>
    </w:p>
    <w:p w14:paraId="02454BE5">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rPr>
      </w:pPr>
      <w:r>
        <w:rPr>
          <w:rFonts w:hint="eastAsia" w:ascii="仿宋_GB2312" w:hAnsi="仿宋_GB2312" w:cs="仿宋_GB2312"/>
        </w:rPr>
        <w:t>效果指标完成情况，经济效益明显，劳动者收入增，服务对象满意，实施的项目绿色环保节能，资料报送及时，得分</w:t>
      </w:r>
      <w:r>
        <w:rPr>
          <w:rFonts w:ascii="仿宋_GB2312" w:hAnsi="仿宋_GB2312" w:cs="仿宋_GB2312"/>
        </w:rPr>
        <w:t>20</w:t>
      </w:r>
      <w:r>
        <w:rPr>
          <w:rFonts w:hint="eastAsia" w:ascii="仿宋_GB2312" w:hAnsi="仿宋_GB2312" w:cs="仿宋_GB2312"/>
        </w:rPr>
        <w:t>分。总体评价得分</w:t>
      </w:r>
      <w:r>
        <w:rPr>
          <w:rFonts w:ascii="仿宋_GB2312" w:hAnsi="仿宋_GB2312" w:cs="仿宋_GB2312"/>
        </w:rPr>
        <w:t>96.6</w:t>
      </w:r>
      <w:r>
        <w:rPr>
          <w:rFonts w:hint="eastAsia" w:ascii="仿宋_GB2312" w:hAnsi="仿宋_GB2312" w:cs="仿宋_GB2312"/>
        </w:rPr>
        <w:t>分。</w:t>
      </w:r>
    </w:p>
    <w:p w14:paraId="71CDF5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rPr>
      </w:pPr>
      <w:r>
        <w:rPr>
          <w:rFonts w:hint="eastAsia" w:ascii="黑体" w:hAnsi="黑体" w:eastAsia="黑体" w:cs="黑体"/>
        </w:rPr>
        <w:t>三、部门整体支出绩效评价分析</w:t>
      </w:r>
    </w:p>
    <w:p w14:paraId="576CA4AB">
      <w:pPr>
        <w:pStyle w:val="6"/>
        <w:keepNext w:val="0"/>
        <w:keepLines w:val="0"/>
        <w:pageBreakBefore w:val="0"/>
        <w:widowControl w:val="0"/>
        <w:kinsoku/>
        <w:wordWrap/>
        <w:overflowPunct/>
        <w:topLinePunct w:val="0"/>
        <w:autoSpaceDE/>
        <w:autoSpaceDN/>
        <w:bidi w:val="0"/>
        <w:spacing w:line="560" w:lineRule="exact"/>
        <w:ind w:firstLine="643"/>
        <w:textAlignment w:val="auto"/>
        <w:rPr>
          <w:rFonts w:ascii="楷体_GB2312" w:hAnsi="楷体_GB2312" w:eastAsia="楷体_GB2312" w:cs="楷体_GB2312"/>
          <w:b/>
          <w:bCs/>
        </w:rPr>
      </w:pPr>
      <w:r>
        <w:rPr>
          <w:rFonts w:hint="eastAsia" w:ascii="楷体_GB2312" w:hAnsi="楷体_GB2312" w:eastAsia="楷体_GB2312" w:cs="楷体_GB2312"/>
          <w:b/>
          <w:bCs/>
        </w:rPr>
        <w:t>（一）投入情况分析</w:t>
      </w:r>
      <w:r>
        <w:rPr>
          <w:rFonts w:ascii="楷体_GB2312" w:hAnsi="楷体_GB2312" w:eastAsia="楷体_GB2312" w:cs="楷体_GB2312"/>
          <w:b/>
          <w:bCs/>
        </w:rPr>
        <w:t xml:space="preserve"> </w:t>
      </w:r>
    </w:p>
    <w:p w14:paraId="6506F4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rPr>
      </w:pPr>
      <w:r>
        <w:rPr>
          <w:rFonts w:ascii="仿宋_GB2312" w:hAnsi="仿宋_GB2312" w:cs="仿宋_GB2312"/>
        </w:rPr>
        <w:t>1.</w:t>
      </w:r>
      <w:r>
        <w:rPr>
          <w:rFonts w:hint="eastAsia" w:ascii="仿宋_GB2312" w:hAnsi="仿宋_GB2312" w:cs="仿宋_GB2312"/>
        </w:rPr>
        <w:t>预算编制情况分析：预算编制符合我县国民经济总体规划，数据详实，资料信息完整，年度任务明确，指标设置科学合理，经财政部门审核，符合预算相关规定。</w:t>
      </w:r>
    </w:p>
    <w:p w14:paraId="6E9381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rPr>
      </w:pPr>
      <w:r>
        <w:rPr>
          <w:rFonts w:ascii="仿宋_GB2312" w:hAnsi="仿宋_GB2312" w:cs="仿宋_GB2312"/>
        </w:rPr>
        <w:t>2.</w:t>
      </w:r>
      <w:r>
        <w:rPr>
          <w:rFonts w:hint="eastAsia" w:ascii="仿宋_GB2312" w:hAnsi="仿宋_GB2312" w:cs="仿宋_GB2312"/>
        </w:rPr>
        <w:t>预算配置情况分析：单位人员控制在编制以内，三公经费严格按照相关规定执行。重点项目的支出，优先安排，做到应支尽支。</w:t>
      </w:r>
    </w:p>
    <w:p w14:paraId="64ED0086">
      <w:pPr>
        <w:pStyle w:val="6"/>
        <w:keepNext w:val="0"/>
        <w:keepLines w:val="0"/>
        <w:pageBreakBefore w:val="0"/>
        <w:widowControl w:val="0"/>
        <w:kinsoku/>
        <w:wordWrap/>
        <w:overflowPunct/>
        <w:topLinePunct w:val="0"/>
        <w:autoSpaceDE/>
        <w:autoSpaceDN/>
        <w:bidi w:val="0"/>
        <w:spacing w:line="560" w:lineRule="exact"/>
        <w:ind w:firstLine="643"/>
        <w:textAlignment w:val="auto"/>
        <w:rPr>
          <w:rFonts w:ascii="楷体_GB2312" w:hAnsi="楷体_GB2312" w:eastAsia="楷体_GB2312"/>
          <w:b/>
          <w:bCs/>
        </w:rPr>
      </w:pPr>
      <w:r>
        <w:rPr>
          <w:rFonts w:hint="eastAsia" w:ascii="楷体_GB2312" w:hAnsi="楷体_GB2312" w:eastAsia="楷体_GB2312" w:cs="楷体_GB2312"/>
          <w:b/>
          <w:bCs/>
        </w:rPr>
        <w:t>（二）过程情况分析</w:t>
      </w:r>
    </w:p>
    <w:p w14:paraId="4095C0B5">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rPr>
      </w:pPr>
      <w:r>
        <w:rPr>
          <w:rFonts w:ascii="仿宋_GB2312" w:hAnsi="仿宋_GB2312" w:cs="仿宋_GB2312"/>
        </w:rPr>
        <w:t>1.</w:t>
      </w:r>
      <w:r>
        <w:rPr>
          <w:rFonts w:hint="eastAsia" w:ascii="仿宋_GB2312" w:hAnsi="仿宋_GB2312" w:cs="仿宋_GB2312"/>
        </w:rPr>
        <w:t>预算执行情况分析：</w:t>
      </w:r>
      <w:r>
        <w:rPr>
          <w:rFonts w:ascii="仿宋_GB2312" w:hAnsi="仿宋_GB2312" w:cs="仿宋_GB2312"/>
        </w:rPr>
        <w:t>2023</w:t>
      </w:r>
      <w:r>
        <w:rPr>
          <w:rFonts w:hint="eastAsia" w:ascii="仿宋_GB2312" w:hAnsi="仿宋_GB2312" w:cs="仿宋_GB2312"/>
        </w:rPr>
        <w:t>年预算执行全部完成，增加的预算调整符合相关规定，资金支付及时，严格执行政府采购制度，所有项目都进行了采购。</w:t>
      </w:r>
    </w:p>
    <w:p w14:paraId="539F50F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rPr>
      </w:pPr>
      <w:r>
        <w:rPr>
          <w:rFonts w:ascii="仿宋_GB2312" w:hAnsi="仿宋_GB2312" w:cs="仿宋_GB2312"/>
        </w:rPr>
        <w:t>2.</w:t>
      </w:r>
      <w:r>
        <w:rPr>
          <w:rFonts w:hint="eastAsia" w:ascii="仿宋_GB2312" w:hAnsi="仿宋_GB2312" w:cs="仿宋_GB2312"/>
        </w:rPr>
        <w:t>预算管理情况分析：单位管理制度健全，资金支付全部执行国库集中支付，决算信息及时公开，财务信息完整准确，严格执行政府购买服务。</w:t>
      </w:r>
    </w:p>
    <w:p w14:paraId="0B3DD1A8">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rPr>
      </w:pPr>
      <w:r>
        <w:rPr>
          <w:rFonts w:ascii="仿宋_GB2312" w:hAnsi="仿宋_GB2312" w:cs="仿宋_GB2312"/>
        </w:rPr>
        <w:t>3.</w:t>
      </w:r>
      <w:r>
        <w:rPr>
          <w:rFonts w:hint="eastAsia" w:ascii="仿宋_GB2312" w:hAnsi="仿宋_GB2312" w:cs="仿宋_GB2312"/>
        </w:rPr>
        <w:t>资产管理情况分析：单位按相关规定制定了资产管理制度，资产保存完整，帐实相符，处置资产都按相关规定进行了评估和审批，无违规处置资产的现象发生。</w:t>
      </w:r>
    </w:p>
    <w:p w14:paraId="4C3D3688">
      <w:pPr>
        <w:pStyle w:val="6"/>
        <w:keepNext w:val="0"/>
        <w:keepLines w:val="0"/>
        <w:pageBreakBefore w:val="0"/>
        <w:widowControl w:val="0"/>
        <w:kinsoku/>
        <w:wordWrap/>
        <w:overflowPunct/>
        <w:topLinePunct w:val="0"/>
        <w:autoSpaceDE/>
        <w:autoSpaceDN/>
        <w:bidi w:val="0"/>
        <w:spacing w:line="560" w:lineRule="exact"/>
        <w:ind w:firstLine="643"/>
        <w:textAlignment w:val="auto"/>
        <w:rPr>
          <w:rFonts w:ascii="楷体_GB2312" w:hAnsi="楷体_GB2312" w:eastAsia="楷体_GB2312"/>
          <w:b/>
          <w:bCs/>
        </w:rPr>
      </w:pPr>
      <w:r>
        <w:rPr>
          <w:rFonts w:hint="eastAsia" w:ascii="楷体_GB2312" w:hAnsi="楷体_GB2312" w:eastAsia="楷体_GB2312" w:cs="楷体_GB2312"/>
          <w:b/>
          <w:bCs/>
        </w:rPr>
        <w:t>（三）产出情况分析</w:t>
      </w:r>
    </w:p>
    <w:p w14:paraId="3F9A9871">
      <w:pPr>
        <w:pStyle w:val="2"/>
        <w:keepNext w:val="0"/>
        <w:keepLines w:val="0"/>
        <w:pageBreakBefore w:val="0"/>
        <w:widowControl w:val="0"/>
        <w:kinsoku/>
        <w:wordWrap/>
        <w:overflowPunct/>
        <w:topLinePunct w:val="0"/>
        <w:autoSpaceDE/>
        <w:autoSpaceDN/>
        <w:bidi w:val="0"/>
        <w:spacing w:line="560" w:lineRule="exact"/>
        <w:textAlignment w:val="auto"/>
        <w:rPr>
          <w:rFonts w:ascii="仿宋_GB2312"/>
        </w:rPr>
      </w:pPr>
      <w:r>
        <w:rPr>
          <w:rFonts w:hint="eastAsia" w:ascii="仿宋_GB2312" w:hAnsi="仿宋_GB2312" w:cs="仿宋_GB2312"/>
        </w:rPr>
        <w:t>职责履行方面：</w:t>
      </w:r>
      <w:r>
        <w:rPr>
          <w:rFonts w:ascii="仿宋_GB2312" w:hAnsi="仿宋_GB2312" w:cs="仿宋_GB2312"/>
        </w:rPr>
        <w:t>2023</w:t>
      </w:r>
      <w:r>
        <w:rPr>
          <w:rFonts w:hint="eastAsia" w:ascii="仿宋_GB2312" w:hAnsi="仿宋_GB2312" w:cs="仿宋_GB2312"/>
        </w:rPr>
        <w:t>年工作任务都按年初签定的目标责任书完成，根据上级部门的考核，任务完成优于其它县区。各项任务都制定了明确、具体、可量化的绩效指标，项目完成后，及时进行验收、决算、评审。</w:t>
      </w:r>
    </w:p>
    <w:p w14:paraId="518DEF17">
      <w:pPr>
        <w:pStyle w:val="6"/>
        <w:keepNext w:val="0"/>
        <w:keepLines w:val="0"/>
        <w:pageBreakBefore w:val="0"/>
        <w:widowControl w:val="0"/>
        <w:kinsoku/>
        <w:wordWrap/>
        <w:overflowPunct/>
        <w:topLinePunct w:val="0"/>
        <w:autoSpaceDE/>
        <w:autoSpaceDN/>
        <w:bidi w:val="0"/>
        <w:spacing w:line="560" w:lineRule="exact"/>
        <w:ind w:firstLine="643"/>
        <w:textAlignment w:val="auto"/>
        <w:rPr>
          <w:rFonts w:ascii="楷体_GB2312" w:hAnsi="楷体_GB2312" w:eastAsia="楷体_GB2312"/>
          <w:b/>
          <w:bCs/>
        </w:rPr>
      </w:pPr>
      <w:r>
        <w:rPr>
          <w:rFonts w:hint="eastAsia" w:ascii="楷体_GB2312" w:hAnsi="楷体_GB2312" w:eastAsia="楷体_GB2312" w:cs="楷体_GB2312"/>
          <w:b/>
          <w:bCs/>
        </w:rPr>
        <w:t>（四）效益情况分析</w:t>
      </w:r>
    </w:p>
    <w:p w14:paraId="795A8B56">
      <w:pPr>
        <w:pStyle w:val="6"/>
        <w:keepNext w:val="0"/>
        <w:keepLines w:val="0"/>
        <w:pageBreakBefore w:val="0"/>
        <w:widowControl w:val="0"/>
        <w:kinsoku/>
        <w:wordWrap/>
        <w:overflowPunct/>
        <w:topLinePunct w:val="0"/>
        <w:autoSpaceDE/>
        <w:autoSpaceDN/>
        <w:bidi w:val="0"/>
        <w:spacing w:line="560" w:lineRule="exact"/>
        <w:textAlignment w:val="auto"/>
        <w:rPr>
          <w:rFonts w:ascii="仿宋_GB2312"/>
        </w:rPr>
      </w:pPr>
      <w:r>
        <w:rPr>
          <w:rFonts w:hint="eastAsia" w:ascii="仿宋_GB2312" w:hAnsi="仿宋_GB2312" w:cs="仿宋_GB2312"/>
        </w:rPr>
        <w:t>通过项目的实施，促进了行业生产能力增长，也带动了行业经济效益增长，有效提高劳动效率，节约成本费用，行业形象得到提升，增强了部门影响力。经济效益增长，增加了劳动者收入，周围环境得到了整治，面貌得到了改善。</w:t>
      </w:r>
    </w:p>
    <w:p w14:paraId="7D16342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rPr>
      </w:pPr>
      <w:r>
        <w:rPr>
          <w:rFonts w:hint="eastAsia" w:ascii="黑体" w:hAnsi="黑体" w:eastAsia="黑体" w:cs="黑体"/>
        </w:rPr>
        <w:t>四、履职完成情况</w:t>
      </w:r>
    </w:p>
    <w:p w14:paraId="2373C905">
      <w:pPr>
        <w:keepNext w:val="0"/>
        <w:keepLines w:val="0"/>
        <w:pageBreakBefore w:val="0"/>
        <w:kinsoku/>
        <w:wordWrap/>
        <w:overflowPunct/>
        <w:topLinePunct w:val="0"/>
        <w:bidi w:val="0"/>
        <w:spacing w:line="560" w:lineRule="exact"/>
        <w:ind w:firstLine="482" w:firstLineChars="15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防沙治沙持续推进</w:t>
      </w:r>
    </w:p>
    <w:p w14:paraId="28F08F43">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一是完成固沙、压沙</w:t>
      </w:r>
      <w:bookmarkStart w:id="4" w:name="_GoBack"/>
      <w:bookmarkEnd w:id="4"/>
      <w:r>
        <w:rPr>
          <w:rFonts w:hint="eastAsia" w:ascii="仿宋_GB2312" w:hAnsi="仿宋_GB2312" w:eastAsia="仿宋_GB2312" w:cs="仿宋_GB2312"/>
          <w:sz w:val="32"/>
          <w:szCs w:val="32"/>
        </w:rPr>
        <w:t>2023年度750亩，2022年度公益林补偿资金150亩，中韩青年友好项目500亩。二是组织协调完成荒漠植被恢复面积135亩，压设草方格35亩，栽植梭梭135亩。三是积极与河西学院、山东师范大学合作利用活性淀粉开展防砂治沙研究、有望为开辟防沙治沙新途径。四是协助林沃公司开展机关干部义务治沙造林活动。</w:t>
      </w:r>
    </w:p>
    <w:p w14:paraId="003E273B">
      <w:pPr>
        <w:keepNext w:val="0"/>
        <w:keepLines w:val="0"/>
        <w:pageBreakBefore w:val="0"/>
        <w:kinsoku/>
        <w:wordWrap/>
        <w:overflowPunct/>
        <w:topLinePunct w:val="0"/>
        <w:bidi w:val="0"/>
        <w:spacing w:line="560" w:lineRule="exact"/>
        <w:ind w:firstLine="482" w:firstLineChars="15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资源管护不断加强</w:t>
      </w:r>
    </w:p>
    <w:p w14:paraId="01845C8C">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一是对辖区内甘肃建设架设输电线路塔时占用林地及时劝阻进行植被核实。拟占用林地架设哈密至重庆的特高压项目施工单位。进行说服教育，及时做好审核审批工作。</w:t>
      </w: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rPr>
        <w:t>是通过购买无人巡护机1架、笔记本2台、执法记录仪10部、平板六台、架设监控摄像头15处、修建防火瞭望塔一座，初步实现了利用科技管护资源的目标。</w:t>
      </w: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rPr>
        <w:t>是加强化设施设备的维修维护，全年累计维修巡护道路35.4km。维修刺丝围栏126km。粉刷围栏杆子4120个。粉刷大型宣传牌24座，有害生物防治4万亩。</w:t>
      </w: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rPr>
        <w:t>是主动加强与市动管局的联系沟通，争取到野生动物投食饲料4000斤。718L大容机冷藏柜1台，生化防护服10套，各类宣传画册500份。全年给野生动物投食8次约8000斤玉米，拟筹建野生动物定点监测点5处.充分利用一切有利条件，多措并举，综合施策，确保了资源管护向着良性方向持续推进。</w:t>
      </w:r>
    </w:p>
    <w:p w14:paraId="3A10B189">
      <w:pPr>
        <w:keepNext w:val="0"/>
        <w:keepLines w:val="0"/>
        <w:pageBreakBefore w:val="0"/>
        <w:kinsoku/>
        <w:wordWrap/>
        <w:overflowPunct/>
        <w:topLinePunct w:val="0"/>
        <w:bidi w:val="0"/>
        <w:spacing w:line="560" w:lineRule="exact"/>
        <w:ind w:firstLine="321" w:firstLineChars="1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（六）安全生产常抓长抓</w:t>
      </w:r>
    </w:p>
    <w:p w14:paraId="3075375F">
      <w:pPr>
        <w:keepNext w:val="0"/>
        <w:keepLines w:val="0"/>
        <w:pageBreakBefore w:val="0"/>
        <w:kinsoku/>
        <w:wordWrap/>
        <w:overflowPunct/>
        <w:topLinePunct w:val="0"/>
        <w:bidi w:val="0"/>
        <w:spacing w:line="560" w:lineRule="exact"/>
        <w:ind w:firstLine="480" w:firstLineChars="1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是建立定期安全生产培训制度，将安全生产纳入护林员绩效考核机制，利用每月的理论业务学习培训会将道路交通，取暖，财务用水，用电等内容纳入培训范畴，定期开展安全培训，二是加强安全生产宣传，先后配合市林草局，平川镇政府抓住节日的有利时机宣传政策法规。同时利用项目资金印制马甲，围裙，手提袋，纸杯等经济实用的宣传用品。对封禁保护区，森林防火应急管理进行宣传，三是在森林防火期，做好值班值守，严格落实24小时值班制度，对外公开防火电话。开展区域巡查巡护246次，与周边村部签订森林防火协议4份。组织应急演练6次。维修保养防火设施6次，确保了林均无森林火灾和安全事故</w:t>
      </w:r>
      <w:r>
        <w:rPr>
          <w:rFonts w:hint="eastAsia" w:ascii="仿宋_GB2312" w:hAnsi="仿宋_GB2312" w:cs="仿宋_GB2312"/>
          <w:sz w:val="32"/>
          <w:szCs w:val="32"/>
          <w:lang w:eastAsia="zh-CN"/>
        </w:rPr>
        <w:t>。</w:t>
      </w:r>
    </w:p>
    <w:p w14:paraId="68A4083F">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rPr>
      </w:pPr>
      <w:r>
        <w:rPr>
          <w:rFonts w:hint="eastAsia" w:ascii="黑体" w:hAnsi="黑体" w:eastAsia="黑体" w:cs="黑体"/>
        </w:rPr>
        <w:t>存在的问题</w:t>
      </w:r>
    </w:p>
    <w:p w14:paraId="37FEED7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一是在科普宣传、产业发展、生态保护等方面项目争取实施力度不够。因财务人员不固定，业务知识欠缺，导致部分资金支付不及时。二是</w:t>
      </w:r>
      <w:bookmarkStart w:id="3" w:name="_Hlk159841048"/>
      <w:r>
        <w:rPr>
          <w:rFonts w:hint="eastAsia" w:ascii="仿宋_GB2312" w:hAnsi="仿宋_GB2312" w:cs="仿宋_GB2312"/>
          <w:lang w:val="en-US" w:eastAsia="zh-CN"/>
        </w:rPr>
        <w:t>在巩固造林成果上</w:t>
      </w:r>
      <w:bookmarkEnd w:id="3"/>
      <w:r>
        <w:rPr>
          <w:rFonts w:hint="eastAsia" w:ascii="仿宋_GB2312" w:hAnsi="仿宋_GB2312" w:cs="仿宋_GB2312"/>
          <w:lang w:val="en-US" w:eastAsia="zh-CN"/>
        </w:rPr>
        <w:t>，还需常抓不懈，久久为功。林长制培训宣传不到位，全社会人人参与、支持、配合的氛围营造还需加强。三是受沙漠、荒漠戈壁等立地条件等因素制约，个别地段的造林成效不明显。</w:t>
      </w:r>
    </w:p>
    <w:p w14:paraId="5C6360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rPr>
      </w:pPr>
      <w:r>
        <w:rPr>
          <w:rFonts w:hint="eastAsia" w:ascii="黑体" w:hAnsi="黑体" w:eastAsia="黑体" w:cs="黑体"/>
        </w:rPr>
        <w:t>六、整改措施或建议</w:t>
      </w:r>
    </w:p>
    <w:p w14:paraId="7666F5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spacing w:val="-6"/>
        </w:rPr>
      </w:pPr>
      <w:r>
        <w:rPr>
          <w:rFonts w:hint="eastAsia" w:ascii="仿宋_GB2312" w:hAnsi="仿宋_GB2312" w:cs="仿宋_GB2312"/>
        </w:rPr>
        <w:t>加</w:t>
      </w:r>
      <w:r>
        <w:rPr>
          <w:rFonts w:hint="eastAsia" w:ascii="仿宋_GB2312" w:hAnsi="仿宋_GB2312" w:cs="仿宋_GB2312"/>
          <w:spacing w:val="-6"/>
        </w:rPr>
        <w:t>强项目管理，及早设计规划，保障项目按设计方案顺利实施。</w:t>
      </w:r>
    </w:p>
    <w:p w14:paraId="1AD68DA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rPr>
      </w:pPr>
      <w:r>
        <w:rPr>
          <w:rFonts w:hint="eastAsia" w:ascii="黑体" w:hAnsi="黑体" w:eastAsia="黑体" w:cs="黑体"/>
        </w:rPr>
        <w:t>七、其他需要说明的问题</w:t>
      </w:r>
    </w:p>
    <w:p w14:paraId="5A832FEB">
      <w:pPr>
        <w:keepNext w:val="0"/>
        <w:keepLines w:val="0"/>
        <w:pageBreakBefore w:val="0"/>
        <w:widowControl w:val="0"/>
        <w:kinsoku/>
        <w:wordWrap/>
        <w:overflowPunct/>
        <w:topLinePunct w:val="0"/>
        <w:autoSpaceDE/>
        <w:autoSpaceDN/>
        <w:bidi w:val="0"/>
        <w:spacing w:line="560" w:lineRule="exact"/>
        <w:textAlignment w:val="auto"/>
        <w:rPr>
          <w:rFonts w:ascii="仿宋_GB2312"/>
        </w:rPr>
      </w:pPr>
      <w:r>
        <w:rPr>
          <w:rFonts w:ascii="仿宋_GB2312" w:hAnsi="仿宋_GB2312" w:cs="仿宋_GB2312"/>
        </w:rPr>
        <w:t xml:space="preserve">    </w:t>
      </w:r>
      <w:r>
        <w:rPr>
          <w:rFonts w:hint="eastAsia" w:ascii="仿宋_GB2312" w:hAnsi="仿宋_GB2312" w:cs="仿宋_GB2312"/>
        </w:rPr>
        <w:t>实施的项目根据验收和评审结果，资金应及时支付给中标单位，但由于其它原因，项目主管单位做了支付，实际支付平台长时间付不了款，造成项目主管单位资金支付缓慢，受到上级主管部门的检查督促。</w:t>
      </w:r>
    </w:p>
    <w:p w14:paraId="39C8241B">
      <w:pPr>
        <w:pStyle w:val="7"/>
        <w:keepNext w:val="0"/>
        <w:keepLines w:val="0"/>
        <w:pageBreakBefore w:val="0"/>
        <w:kinsoku/>
        <w:wordWrap/>
        <w:overflowPunct/>
        <w:topLinePunct w:val="0"/>
        <w:bidi w:val="0"/>
        <w:spacing w:line="560" w:lineRule="exact"/>
        <w:ind w:left="640"/>
        <w:textAlignment w:val="auto"/>
        <w:rPr>
          <w:rFonts w:ascii="仿宋_GB2312"/>
        </w:rPr>
      </w:pPr>
    </w:p>
    <w:p w14:paraId="00840A85">
      <w:pPr>
        <w:keepNext w:val="0"/>
        <w:keepLines w:val="0"/>
        <w:pageBreakBefore w:val="0"/>
        <w:kinsoku/>
        <w:wordWrap/>
        <w:overflowPunct/>
        <w:topLinePunct w:val="0"/>
        <w:bidi w:val="0"/>
        <w:spacing w:line="560" w:lineRule="exact"/>
        <w:textAlignment w:val="auto"/>
        <w:rPr>
          <w:rFonts w:ascii="仿宋_GB2312"/>
        </w:rPr>
      </w:pPr>
    </w:p>
    <w:p w14:paraId="7A573B3E">
      <w:pPr>
        <w:pStyle w:val="7"/>
        <w:keepNext w:val="0"/>
        <w:keepLines w:val="0"/>
        <w:pageBreakBefore w:val="0"/>
        <w:kinsoku/>
        <w:wordWrap/>
        <w:overflowPunct/>
        <w:topLinePunct w:val="0"/>
        <w:bidi w:val="0"/>
        <w:spacing w:line="560" w:lineRule="exact"/>
        <w:ind w:left="640"/>
        <w:textAlignment w:val="auto"/>
        <w:rPr>
          <w:rFonts w:ascii="仿宋_GB2312"/>
        </w:rPr>
      </w:pPr>
      <w:r>
        <w:rPr>
          <w:rFonts w:ascii="仿宋_GB2312" w:hAnsi="仿宋_GB2312" w:cs="仿宋_GB2312"/>
        </w:rPr>
        <w:t xml:space="preserve">                           </w:t>
      </w:r>
      <w:r>
        <w:rPr>
          <w:rFonts w:hint="eastAsia" w:ascii="仿宋_GB2312" w:hAnsi="仿宋_GB2312" w:cs="仿宋_GB2312"/>
          <w:lang w:val="en-US" w:eastAsia="zh-CN"/>
        </w:rPr>
        <w:t xml:space="preserve">   </w:t>
      </w:r>
      <w:r>
        <w:rPr>
          <w:rFonts w:hint="eastAsia" w:ascii="仿宋_GB2312" w:hAnsi="仿宋_GB2312" w:cs="仿宋_GB2312"/>
        </w:rPr>
        <w:t>临泽县治沙试验站</w:t>
      </w:r>
    </w:p>
    <w:p w14:paraId="4874117D">
      <w:pPr>
        <w:keepNext w:val="0"/>
        <w:keepLines w:val="0"/>
        <w:pageBreakBefore w:val="0"/>
        <w:kinsoku/>
        <w:wordWrap/>
        <w:overflowPunct/>
        <w:topLinePunct w:val="0"/>
        <w:bidi w:val="0"/>
        <w:spacing w:line="560" w:lineRule="exact"/>
        <w:textAlignment w:val="auto"/>
        <w:rPr>
          <w:rFonts w:ascii="仿宋_GB2312"/>
        </w:rPr>
      </w:pPr>
      <w:r>
        <w:rPr>
          <w:rFonts w:ascii="仿宋_GB2312" w:hAnsi="仿宋_GB2312" w:cs="仿宋_GB2312"/>
        </w:rPr>
        <w:t xml:space="preserve">                               </w:t>
      </w:r>
      <w:r>
        <w:rPr>
          <w:rFonts w:hint="eastAsia" w:ascii="仿宋_GB2312" w:hAnsi="仿宋_GB2312" w:cs="仿宋_GB2312"/>
          <w:lang w:val="en-US" w:eastAsia="zh-CN"/>
        </w:rPr>
        <w:t xml:space="preserve">   </w:t>
      </w:r>
      <w:r>
        <w:rPr>
          <w:rFonts w:ascii="仿宋_GB2312" w:hAnsi="仿宋_GB2312" w:cs="仿宋_GB2312"/>
        </w:rPr>
        <w:t xml:space="preserve"> 2024</w:t>
      </w:r>
      <w:r>
        <w:rPr>
          <w:rFonts w:hint="eastAsia" w:ascii="仿宋_GB2312" w:hAnsi="仿宋_GB2312" w:cs="仿宋_GB2312"/>
        </w:rPr>
        <w:t>年</w:t>
      </w:r>
      <w:r>
        <w:rPr>
          <w:rFonts w:hint="eastAsia" w:ascii="仿宋_GB2312" w:hAnsi="仿宋_GB2312" w:cs="仿宋_GB2312"/>
          <w:lang w:val="en-US" w:eastAsia="zh-CN"/>
        </w:rPr>
        <w:t>3</w:t>
      </w:r>
      <w:r>
        <w:rPr>
          <w:rFonts w:hint="eastAsia" w:ascii="仿宋_GB2312" w:hAnsi="仿宋_GB2312" w:cs="仿宋_GB2312"/>
        </w:rPr>
        <w:t>月</w:t>
      </w:r>
      <w:r>
        <w:rPr>
          <w:rFonts w:hint="eastAsia" w:ascii="仿宋_GB2312" w:hAnsi="仿宋_GB2312" w:cs="仿宋_GB2312"/>
          <w:lang w:val="en-US" w:eastAsia="zh-CN"/>
        </w:rPr>
        <w:t>8</w:t>
      </w:r>
      <w:r>
        <w:rPr>
          <w:rFonts w:hint="eastAsia" w:ascii="仿宋_GB2312" w:hAnsi="仿宋_GB2312" w:cs="仿宋_GB2312"/>
        </w:rPr>
        <w:t>日</w:t>
      </w:r>
    </w:p>
    <w:sectPr>
      <w:headerReference r:id="rId5" w:type="default"/>
      <w:footerReference r:id="rId6" w:type="default"/>
      <w:pgSz w:w="11906" w:h="16838"/>
      <w:pgMar w:top="1440" w:right="1474" w:bottom="1440" w:left="1587" w:header="851" w:footer="1417" w:gutter="0"/>
      <w:pgNumType w:fmt="numberInDash"/>
      <w:cols w:space="0" w:num="1"/>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1770">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45135" cy="346075"/>
              <wp:effectExtent l="0" t="0" r="3175" b="0"/>
              <wp:wrapNone/>
              <wp:docPr id="1718180815" name="Text Box 1"/>
              <wp:cNvGraphicFramePr/>
              <a:graphic xmlns:a="http://schemas.openxmlformats.org/drawingml/2006/main">
                <a:graphicData uri="http://schemas.microsoft.com/office/word/2010/wordprocessingShape">
                  <wps:wsp>
                    <wps:cNvSpPr txBox="1">
                      <a:spLocks noChangeArrowheads="1"/>
                    </wps:cNvSpPr>
                    <wps:spPr bwMode="auto">
                      <a:xfrm>
                        <a:off x="0" y="0"/>
                        <a:ext cx="445135" cy="346075"/>
                      </a:xfrm>
                      <a:prstGeom prst="rect">
                        <a:avLst/>
                      </a:prstGeom>
                      <a:noFill/>
                      <a:ln>
                        <a:noFill/>
                      </a:ln>
                    </wps:spPr>
                    <wps:txbx>
                      <w:txbxContent>
                        <w:p w14:paraId="06DE2089">
                          <w:pPr>
                            <w:pStyle w:val="8"/>
                            <w:rPr>
                              <w:rFonts w:ascii="仿宋_GB2312"/>
                              <w:sz w:val="28"/>
                              <w:szCs w:val="28"/>
                            </w:rPr>
                          </w:pPr>
                          <w:r>
                            <w:rPr>
                              <w:rFonts w:ascii="仿宋_GB2312" w:hAnsi="仿宋_GB2312" w:cs="仿宋_GB2312"/>
                              <w:sz w:val="28"/>
                              <w:szCs w:val="28"/>
                            </w:rPr>
                            <w:fldChar w:fldCharType="begin"/>
                          </w:r>
                          <w:r>
                            <w:rPr>
                              <w:rFonts w:ascii="仿宋_GB2312" w:hAnsi="仿宋_GB2312" w:cs="仿宋_GB2312"/>
                              <w:sz w:val="28"/>
                              <w:szCs w:val="28"/>
                            </w:rPr>
                            <w:instrText xml:space="preserve"> PAGE  \* MERGEFORMAT </w:instrText>
                          </w:r>
                          <w:r>
                            <w:rPr>
                              <w:rFonts w:ascii="仿宋_GB2312" w:hAnsi="仿宋_GB2312" w:cs="仿宋_GB2312"/>
                              <w:sz w:val="28"/>
                              <w:szCs w:val="28"/>
                            </w:rPr>
                            <w:fldChar w:fldCharType="separate"/>
                          </w:r>
                          <w:r>
                            <w:rPr>
                              <w:rFonts w:ascii="仿宋_GB2312" w:hAnsi="仿宋_GB2312" w:cs="仿宋_GB2312"/>
                              <w:sz w:val="28"/>
                              <w:szCs w:val="28"/>
                            </w:rPr>
                            <w:t>- 1 -</w:t>
                          </w:r>
                          <w:r>
                            <w:rPr>
                              <w:rFonts w:ascii="仿宋_GB2312" w:hAnsi="仿宋_GB2312" w:cs="仿宋_GB2312"/>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27.25pt;width:35.05pt;mso-position-horizontal:center;mso-position-horizontal-relative:margin;mso-wrap-style:none;z-index:251660288;mso-width-relative:page;mso-height-relative:page;" filled="f" stroked="f" coordsize="21600,21600" o:gfxdata="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K2DobRAAAAAwEAAA8AAAAAAAAAAQAgAAAAIgAAAGRycy9kb3ducmV2Lnht&#10;bFBLAQIUABQAAAAIAIdO4kBfWuVfAAIAAAoEAAAOAAAAAAAAAAEAIAAAACABAABkcnMvZTJvRG9j&#10;LnhtbFBLBQYAAAAABgAGAFkBAACSBQAAAAA=&#10;">
              <v:fill on="f" focussize="0,0"/>
              <v:stroke on="f"/>
              <v:imagedata o:title=""/>
              <o:lock v:ext="edit" aspectratio="f"/>
              <v:textbox inset="0mm,0mm,0mm,0mm" style="mso-fit-shape-to-text:t;">
                <w:txbxContent>
                  <w:p w14:paraId="06DE2089">
                    <w:pPr>
                      <w:pStyle w:val="8"/>
                      <w:rPr>
                        <w:rFonts w:ascii="仿宋_GB2312"/>
                        <w:sz w:val="28"/>
                        <w:szCs w:val="28"/>
                      </w:rPr>
                    </w:pPr>
                    <w:r>
                      <w:rPr>
                        <w:rFonts w:ascii="仿宋_GB2312" w:hAnsi="仿宋_GB2312" w:cs="仿宋_GB2312"/>
                        <w:sz w:val="28"/>
                        <w:szCs w:val="28"/>
                      </w:rPr>
                      <w:fldChar w:fldCharType="begin"/>
                    </w:r>
                    <w:r>
                      <w:rPr>
                        <w:rFonts w:ascii="仿宋_GB2312" w:hAnsi="仿宋_GB2312" w:cs="仿宋_GB2312"/>
                        <w:sz w:val="28"/>
                        <w:szCs w:val="28"/>
                      </w:rPr>
                      <w:instrText xml:space="preserve"> PAGE  \* MERGEFORMAT </w:instrText>
                    </w:r>
                    <w:r>
                      <w:rPr>
                        <w:rFonts w:ascii="仿宋_GB2312" w:hAnsi="仿宋_GB2312" w:cs="仿宋_GB2312"/>
                        <w:sz w:val="28"/>
                        <w:szCs w:val="28"/>
                      </w:rPr>
                      <w:fldChar w:fldCharType="separate"/>
                    </w:r>
                    <w:r>
                      <w:rPr>
                        <w:rFonts w:ascii="仿宋_GB2312" w:hAnsi="仿宋_GB2312" w:cs="仿宋_GB2312"/>
                        <w:sz w:val="28"/>
                        <w:szCs w:val="28"/>
                      </w:rPr>
                      <w:t>- 1 -</w:t>
                    </w:r>
                    <w:r>
                      <w:rPr>
                        <w:rFonts w:ascii="仿宋_GB2312" w:hAnsi="仿宋_GB2312" w:cs="仿宋_GB2312"/>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209550"/>
              <wp:effectExtent l="0" t="0" r="0" b="3175"/>
              <wp:wrapNone/>
              <wp:docPr id="301174984" name="文本框1"/>
              <wp:cNvGraphicFramePr/>
              <a:graphic xmlns:a="http://schemas.openxmlformats.org/drawingml/2006/main">
                <a:graphicData uri="http://schemas.microsoft.com/office/word/2010/wordprocessingShape">
                  <wps:wsp>
                    <wps:cNvSpPr txBox="1">
                      <a:spLocks noChangeArrowheads="1"/>
                    </wps:cNvSpPr>
                    <wps:spPr bwMode="auto">
                      <a:xfrm>
                        <a:off x="0" y="0"/>
                        <a:ext cx="103505" cy="209550"/>
                      </a:xfrm>
                      <a:prstGeom prst="rect">
                        <a:avLst/>
                      </a:prstGeom>
                      <a:noFill/>
                      <a:ln>
                        <a:noFill/>
                      </a:ln>
                    </wps:spPr>
                    <wps:txbx>
                      <w:txbxContent>
                        <w:p w14:paraId="5AD422FE">
                          <w:pPr>
                            <w:snapToGrid w:val="0"/>
                            <w:rPr>
                              <w:sz w:val="18"/>
                              <w:szCs w:val="18"/>
                            </w:rPr>
                          </w:pP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margin-top:0pt;height:16.5pt;width:8.15pt;mso-position-horizontal:center;mso-position-horizontal-relative:margin;mso-wrap-style:none;z-index:251659264;mso-width-relative:page;mso-height-relative:page;" filled="f" stroked="f" coordsize="21600,21600" o:gfxdata="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4cDjm0AAAAAMBAAAPAAAAAAAAAAEAIAAAACIA&#10;AABkcnMvZG93bnJldi54bWxQSwECFAAUAAAACACHTuJAYdgJHRECAAAJBAAADgAAAAAAAAABACAA&#10;AAAfAQAAZHJzL2Uyb0RvYy54bWxQSwUGAAAAAAYABgBZAQAAogUAAAAA&#10;">
              <v:fill on="f" focussize="0,0"/>
              <v:stroke on="f"/>
              <v:imagedata o:title=""/>
              <o:lock v:ext="edit" aspectratio="f"/>
              <v:textbox inset="0mm,0mm,0mm,0mm" style="mso-fit-shape-to-text:t;">
                <w:txbxContent>
                  <w:p w14:paraId="5AD422FE">
                    <w:pPr>
                      <w:snapToGrid w:val="0"/>
                      <w:rPr>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B605E">
    <w:pPr>
      <w:pStyle w:val="9"/>
      <w:pBdr>
        <w:top w:val="none" w:color="auto" w:sz="0" w:space="0"/>
        <w:left w:val="none" w:color="auto" w:sz="0" w:space="0"/>
        <w:bottom w:val="none" w:color="auto" w:sz="0" w:space="0"/>
        <w:right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74EE3F"/>
    <w:multiLevelType w:val="singleLevel"/>
    <w:tmpl w:val="3B74EE3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218"/>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zMjQyNzQ0M2M5YmY0MjUyYmUwY2RmNjQxNTNiYjQifQ=="/>
  </w:docVars>
  <w:rsids>
    <w:rsidRoot w:val="0E891585"/>
    <w:rsid w:val="000410D6"/>
    <w:rsid w:val="00127541"/>
    <w:rsid w:val="00190816"/>
    <w:rsid w:val="001D0D72"/>
    <w:rsid w:val="00210448"/>
    <w:rsid w:val="00270553"/>
    <w:rsid w:val="002B4B28"/>
    <w:rsid w:val="002F27C2"/>
    <w:rsid w:val="003404C2"/>
    <w:rsid w:val="003F56DB"/>
    <w:rsid w:val="00485D6B"/>
    <w:rsid w:val="004C7A8D"/>
    <w:rsid w:val="005E38E8"/>
    <w:rsid w:val="006C5003"/>
    <w:rsid w:val="00700851"/>
    <w:rsid w:val="00897C8B"/>
    <w:rsid w:val="008A386C"/>
    <w:rsid w:val="008B7377"/>
    <w:rsid w:val="008D7325"/>
    <w:rsid w:val="008E627E"/>
    <w:rsid w:val="00973E53"/>
    <w:rsid w:val="00A725D2"/>
    <w:rsid w:val="00B22986"/>
    <w:rsid w:val="00BD7451"/>
    <w:rsid w:val="00C035C2"/>
    <w:rsid w:val="00D31E8C"/>
    <w:rsid w:val="00DC3824"/>
    <w:rsid w:val="00E015CE"/>
    <w:rsid w:val="02901060"/>
    <w:rsid w:val="03034879"/>
    <w:rsid w:val="037A17BC"/>
    <w:rsid w:val="03B754B3"/>
    <w:rsid w:val="050C6887"/>
    <w:rsid w:val="05164C02"/>
    <w:rsid w:val="052C10AC"/>
    <w:rsid w:val="059F1735"/>
    <w:rsid w:val="05A8373F"/>
    <w:rsid w:val="05D902BD"/>
    <w:rsid w:val="06E201E0"/>
    <w:rsid w:val="07084F30"/>
    <w:rsid w:val="074514C3"/>
    <w:rsid w:val="07EF58A1"/>
    <w:rsid w:val="0819527B"/>
    <w:rsid w:val="08E82583"/>
    <w:rsid w:val="09745809"/>
    <w:rsid w:val="099D2A89"/>
    <w:rsid w:val="0A6D4F24"/>
    <w:rsid w:val="0C441E40"/>
    <w:rsid w:val="0C620E77"/>
    <w:rsid w:val="0C8F394B"/>
    <w:rsid w:val="0CA23CF8"/>
    <w:rsid w:val="0DBF6005"/>
    <w:rsid w:val="0E0A4CAA"/>
    <w:rsid w:val="0E102331"/>
    <w:rsid w:val="0E891585"/>
    <w:rsid w:val="0F006E14"/>
    <w:rsid w:val="0F657C93"/>
    <w:rsid w:val="105A5BC0"/>
    <w:rsid w:val="10B206F3"/>
    <w:rsid w:val="11163CC2"/>
    <w:rsid w:val="11A035D2"/>
    <w:rsid w:val="126D7E48"/>
    <w:rsid w:val="13FA103E"/>
    <w:rsid w:val="1421368B"/>
    <w:rsid w:val="14F84E33"/>
    <w:rsid w:val="15344181"/>
    <w:rsid w:val="181747C7"/>
    <w:rsid w:val="181E7240"/>
    <w:rsid w:val="184D4278"/>
    <w:rsid w:val="192172B5"/>
    <w:rsid w:val="19AC0DF5"/>
    <w:rsid w:val="1AC82DB5"/>
    <w:rsid w:val="1AFE4936"/>
    <w:rsid w:val="1DAC3DE4"/>
    <w:rsid w:val="1E656262"/>
    <w:rsid w:val="1E9551B4"/>
    <w:rsid w:val="1F616DAB"/>
    <w:rsid w:val="1FAB2F6B"/>
    <w:rsid w:val="1FD34689"/>
    <w:rsid w:val="2006644D"/>
    <w:rsid w:val="206B123E"/>
    <w:rsid w:val="20D257F6"/>
    <w:rsid w:val="20D538D0"/>
    <w:rsid w:val="20D64DCD"/>
    <w:rsid w:val="20FF1CE3"/>
    <w:rsid w:val="215B0A1A"/>
    <w:rsid w:val="21966D7F"/>
    <w:rsid w:val="219D643B"/>
    <w:rsid w:val="223203B0"/>
    <w:rsid w:val="22874567"/>
    <w:rsid w:val="24F31ED8"/>
    <w:rsid w:val="25AA29B2"/>
    <w:rsid w:val="26483F30"/>
    <w:rsid w:val="265C1EEB"/>
    <w:rsid w:val="26660934"/>
    <w:rsid w:val="2673108C"/>
    <w:rsid w:val="26984044"/>
    <w:rsid w:val="27722488"/>
    <w:rsid w:val="27F34365"/>
    <w:rsid w:val="2A2B58F0"/>
    <w:rsid w:val="2A8C7222"/>
    <w:rsid w:val="2A965067"/>
    <w:rsid w:val="2B2A0714"/>
    <w:rsid w:val="2B852CD9"/>
    <w:rsid w:val="2BDB44F0"/>
    <w:rsid w:val="2C065DA4"/>
    <w:rsid w:val="2C096F1D"/>
    <w:rsid w:val="2C362D24"/>
    <w:rsid w:val="2C7D3482"/>
    <w:rsid w:val="2CC21EA8"/>
    <w:rsid w:val="2D1A3F92"/>
    <w:rsid w:val="2D725DD0"/>
    <w:rsid w:val="2D8C5BE1"/>
    <w:rsid w:val="2DE4456A"/>
    <w:rsid w:val="2DE514DA"/>
    <w:rsid w:val="2E1F4C6D"/>
    <w:rsid w:val="2E35300E"/>
    <w:rsid w:val="2E5F1904"/>
    <w:rsid w:val="2F124B01"/>
    <w:rsid w:val="307B29B7"/>
    <w:rsid w:val="313F6F61"/>
    <w:rsid w:val="32D218A0"/>
    <w:rsid w:val="330E71A0"/>
    <w:rsid w:val="3366689B"/>
    <w:rsid w:val="33806D65"/>
    <w:rsid w:val="341A0F4F"/>
    <w:rsid w:val="34D86FD8"/>
    <w:rsid w:val="366900D9"/>
    <w:rsid w:val="36B756E5"/>
    <w:rsid w:val="36CC66A9"/>
    <w:rsid w:val="37196C98"/>
    <w:rsid w:val="385F541F"/>
    <w:rsid w:val="389742AF"/>
    <w:rsid w:val="39090ACC"/>
    <w:rsid w:val="3A4A475A"/>
    <w:rsid w:val="3A775788"/>
    <w:rsid w:val="3B9A6B59"/>
    <w:rsid w:val="3BDF62D0"/>
    <w:rsid w:val="3CF257A2"/>
    <w:rsid w:val="3D6F5574"/>
    <w:rsid w:val="3DB71999"/>
    <w:rsid w:val="3DFE7E20"/>
    <w:rsid w:val="3EDE6683"/>
    <w:rsid w:val="3FB15639"/>
    <w:rsid w:val="3FF95CCA"/>
    <w:rsid w:val="40E70444"/>
    <w:rsid w:val="41AF1233"/>
    <w:rsid w:val="41FD3407"/>
    <w:rsid w:val="42325117"/>
    <w:rsid w:val="425F6DF0"/>
    <w:rsid w:val="431C4020"/>
    <w:rsid w:val="43B82189"/>
    <w:rsid w:val="45316902"/>
    <w:rsid w:val="46560FFD"/>
    <w:rsid w:val="467C7066"/>
    <w:rsid w:val="46A630A7"/>
    <w:rsid w:val="470537CD"/>
    <w:rsid w:val="47385682"/>
    <w:rsid w:val="47CF2E17"/>
    <w:rsid w:val="47DA54D2"/>
    <w:rsid w:val="483161C9"/>
    <w:rsid w:val="48BF5B4C"/>
    <w:rsid w:val="495D1418"/>
    <w:rsid w:val="49877B8F"/>
    <w:rsid w:val="4B46038A"/>
    <w:rsid w:val="4C4B0ACB"/>
    <w:rsid w:val="4CD07276"/>
    <w:rsid w:val="4D1A250B"/>
    <w:rsid w:val="4D2B15F6"/>
    <w:rsid w:val="4D441002"/>
    <w:rsid w:val="4D60672E"/>
    <w:rsid w:val="4E424783"/>
    <w:rsid w:val="4EAE71F4"/>
    <w:rsid w:val="4F6A4788"/>
    <w:rsid w:val="50B64F9D"/>
    <w:rsid w:val="50CF30C7"/>
    <w:rsid w:val="51970D16"/>
    <w:rsid w:val="51C831D6"/>
    <w:rsid w:val="51FB53CA"/>
    <w:rsid w:val="52926A53"/>
    <w:rsid w:val="52A219E3"/>
    <w:rsid w:val="534C5C9D"/>
    <w:rsid w:val="53E939B1"/>
    <w:rsid w:val="5423698A"/>
    <w:rsid w:val="545D7232"/>
    <w:rsid w:val="55120C02"/>
    <w:rsid w:val="55B92675"/>
    <w:rsid w:val="55CA7946"/>
    <w:rsid w:val="56133F87"/>
    <w:rsid w:val="573319C2"/>
    <w:rsid w:val="573F66F7"/>
    <w:rsid w:val="57767448"/>
    <w:rsid w:val="58614B5E"/>
    <w:rsid w:val="586B0DAE"/>
    <w:rsid w:val="58DB507A"/>
    <w:rsid w:val="59744CA8"/>
    <w:rsid w:val="5C434333"/>
    <w:rsid w:val="5C617EA2"/>
    <w:rsid w:val="5CBE3182"/>
    <w:rsid w:val="5CE054CB"/>
    <w:rsid w:val="5D356EBE"/>
    <w:rsid w:val="5D655292"/>
    <w:rsid w:val="5E1060ED"/>
    <w:rsid w:val="5E2B7A29"/>
    <w:rsid w:val="5E5273CC"/>
    <w:rsid w:val="60711C34"/>
    <w:rsid w:val="607F783A"/>
    <w:rsid w:val="60846CF1"/>
    <w:rsid w:val="613C039B"/>
    <w:rsid w:val="630302A6"/>
    <w:rsid w:val="637E428B"/>
    <w:rsid w:val="64E677CE"/>
    <w:rsid w:val="64FF1454"/>
    <w:rsid w:val="65826BA0"/>
    <w:rsid w:val="66F46C93"/>
    <w:rsid w:val="670021E9"/>
    <w:rsid w:val="677F5B67"/>
    <w:rsid w:val="67950BBB"/>
    <w:rsid w:val="67A142C9"/>
    <w:rsid w:val="68B33A79"/>
    <w:rsid w:val="69A04E34"/>
    <w:rsid w:val="69E96192"/>
    <w:rsid w:val="6AAA26C2"/>
    <w:rsid w:val="6BAE1707"/>
    <w:rsid w:val="6BDF63C2"/>
    <w:rsid w:val="6CD33AEF"/>
    <w:rsid w:val="6E112F9E"/>
    <w:rsid w:val="6E1B78B0"/>
    <w:rsid w:val="6E57590B"/>
    <w:rsid w:val="6E6B353C"/>
    <w:rsid w:val="6E984B28"/>
    <w:rsid w:val="6EE771D7"/>
    <w:rsid w:val="6F49468F"/>
    <w:rsid w:val="6F77220A"/>
    <w:rsid w:val="6FC36FAC"/>
    <w:rsid w:val="70051CAA"/>
    <w:rsid w:val="700B69D4"/>
    <w:rsid w:val="70352C3A"/>
    <w:rsid w:val="705C6487"/>
    <w:rsid w:val="72565AAF"/>
    <w:rsid w:val="725C7D2F"/>
    <w:rsid w:val="72A71511"/>
    <w:rsid w:val="72FC6E43"/>
    <w:rsid w:val="73A56B29"/>
    <w:rsid w:val="74206E10"/>
    <w:rsid w:val="74B9514E"/>
    <w:rsid w:val="74F22E08"/>
    <w:rsid w:val="75797088"/>
    <w:rsid w:val="76466FF6"/>
    <w:rsid w:val="76CA1658"/>
    <w:rsid w:val="7747487C"/>
    <w:rsid w:val="77E23029"/>
    <w:rsid w:val="780853DB"/>
    <w:rsid w:val="78647052"/>
    <w:rsid w:val="78826FCA"/>
    <w:rsid w:val="797F1EE5"/>
    <w:rsid w:val="79BB7C6D"/>
    <w:rsid w:val="7A485754"/>
    <w:rsid w:val="7A646DD9"/>
    <w:rsid w:val="7A6A3A9C"/>
    <w:rsid w:val="7BD062B5"/>
    <w:rsid w:val="7C1A1A27"/>
    <w:rsid w:val="7D6D005F"/>
    <w:rsid w:val="7D8F4F80"/>
    <w:rsid w:val="7DA905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qFormat="1" w:unhideWhenUsed="0"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Calibri" w:hAnsi="Calibri" w:eastAsia="仿宋_GB2312" w:cs="Calibri"/>
      <w:kern w:val="2"/>
      <w:sz w:val="32"/>
      <w:szCs w:val="32"/>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556"/>
    </w:pPr>
    <w:rPr>
      <w:kern w:val="0"/>
    </w:rPr>
  </w:style>
  <w:style w:type="paragraph" w:styleId="3">
    <w:name w:val="caption"/>
    <w:basedOn w:val="1"/>
    <w:next w:val="1"/>
    <w:autoRedefine/>
    <w:qFormat/>
    <w:uiPriority w:val="99"/>
    <w:pPr>
      <w:spacing w:line="240" w:lineRule="auto"/>
    </w:pPr>
    <w:rPr>
      <w:rFonts w:ascii="Arial" w:hAnsi="Arial" w:eastAsia="黑体" w:cs="Arial"/>
      <w:sz w:val="20"/>
      <w:szCs w:val="20"/>
    </w:rPr>
  </w:style>
  <w:style w:type="paragraph" w:styleId="4">
    <w:name w:val="index 6"/>
    <w:basedOn w:val="1"/>
    <w:next w:val="1"/>
    <w:autoRedefine/>
    <w:semiHidden/>
    <w:qFormat/>
    <w:uiPriority w:val="99"/>
    <w:pPr>
      <w:ind w:left="1000" w:leftChars="1000"/>
    </w:pPr>
  </w:style>
  <w:style w:type="paragraph" w:styleId="5">
    <w:name w:val="Body Text"/>
    <w:basedOn w:val="1"/>
    <w:link w:val="19"/>
    <w:autoRedefine/>
    <w:qFormat/>
    <w:uiPriority w:val="99"/>
    <w:pPr>
      <w:spacing w:after="120"/>
    </w:pPr>
  </w:style>
  <w:style w:type="paragraph" w:styleId="6">
    <w:name w:val="Body Text Indent"/>
    <w:basedOn w:val="1"/>
    <w:link w:val="20"/>
    <w:autoRedefine/>
    <w:qFormat/>
    <w:uiPriority w:val="99"/>
    <w:pPr>
      <w:adjustRightInd w:val="0"/>
      <w:snapToGrid w:val="0"/>
      <w:spacing w:line="560" w:lineRule="atLeast"/>
      <w:ind w:firstLine="640" w:firstLineChars="200"/>
    </w:pPr>
    <w:rPr>
      <w:kern w:val="0"/>
    </w:rPr>
  </w:style>
  <w:style w:type="paragraph" w:styleId="7">
    <w:name w:val="Body Text Indent 2"/>
    <w:basedOn w:val="1"/>
    <w:next w:val="1"/>
    <w:link w:val="21"/>
    <w:autoRedefine/>
    <w:qFormat/>
    <w:uiPriority w:val="99"/>
    <w:pPr>
      <w:spacing w:line="480" w:lineRule="auto"/>
      <w:ind w:left="420" w:leftChars="200"/>
    </w:pPr>
  </w:style>
  <w:style w:type="paragraph" w:styleId="8">
    <w:name w:val="footer"/>
    <w:basedOn w:val="1"/>
    <w:link w:val="22"/>
    <w:autoRedefine/>
    <w:qFormat/>
    <w:uiPriority w:val="99"/>
    <w:pPr>
      <w:tabs>
        <w:tab w:val="center" w:pos="4153"/>
        <w:tab w:val="right" w:pos="8306"/>
      </w:tabs>
      <w:snapToGrid w:val="0"/>
      <w:jc w:val="left"/>
    </w:pPr>
    <w:rPr>
      <w:sz w:val="18"/>
      <w:szCs w:val="18"/>
    </w:rPr>
  </w:style>
  <w:style w:type="paragraph" w:styleId="9">
    <w:name w:val="header"/>
    <w:basedOn w:val="1"/>
    <w:link w:val="23"/>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cs="Times New Roman"/>
      <w:sz w:val="18"/>
      <w:szCs w:val="18"/>
    </w:rPr>
  </w:style>
  <w:style w:type="paragraph" w:styleId="10">
    <w:name w:val="Normal (Web)"/>
    <w:basedOn w:val="1"/>
    <w:autoRedefine/>
    <w:qFormat/>
    <w:uiPriority w:val="99"/>
    <w:pPr>
      <w:jc w:val="left"/>
    </w:pPr>
    <w:rPr>
      <w:kern w:val="0"/>
      <w:sz w:val="24"/>
      <w:szCs w:val="24"/>
    </w:rPr>
  </w:style>
  <w:style w:type="paragraph" w:styleId="11">
    <w:name w:val="Title"/>
    <w:basedOn w:val="1"/>
    <w:next w:val="1"/>
    <w:link w:val="24"/>
    <w:autoRedefine/>
    <w:qFormat/>
    <w:uiPriority w:val="99"/>
    <w:pPr>
      <w:spacing w:before="240" w:after="60"/>
      <w:jc w:val="center"/>
      <w:outlineLvl w:val="0"/>
    </w:pPr>
    <w:rPr>
      <w:rFonts w:ascii="Cambria" w:hAnsi="Cambria" w:eastAsia="宋体" w:cs="Cambria"/>
      <w:b/>
      <w:bCs/>
      <w:kern w:val="0"/>
    </w:rPr>
  </w:style>
  <w:style w:type="character" w:styleId="14">
    <w:name w:val="Strong"/>
    <w:basedOn w:val="13"/>
    <w:autoRedefine/>
    <w:qFormat/>
    <w:uiPriority w:val="99"/>
    <w:rPr>
      <w:b/>
      <w:bCs/>
    </w:rPr>
  </w:style>
  <w:style w:type="character" w:styleId="15">
    <w:name w:val="FollowedHyperlink"/>
    <w:basedOn w:val="13"/>
    <w:autoRedefine/>
    <w:qFormat/>
    <w:uiPriority w:val="99"/>
    <w:rPr>
      <w:color w:val="auto"/>
      <w:u w:val="none"/>
    </w:rPr>
  </w:style>
  <w:style w:type="character" w:styleId="16">
    <w:name w:val="Emphasis"/>
    <w:basedOn w:val="13"/>
    <w:autoRedefine/>
    <w:qFormat/>
    <w:uiPriority w:val="99"/>
  </w:style>
  <w:style w:type="character" w:styleId="17">
    <w:name w:val="Hyperlink"/>
    <w:basedOn w:val="13"/>
    <w:autoRedefine/>
    <w:qFormat/>
    <w:uiPriority w:val="99"/>
    <w:rPr>
      <w:color w:val="auto"/>
      <w:u w:val="none"/>
    </w:rPr>
  </w:style>
  <w:style w:type="character" w:styleId="18">
    <w:name w:val="HTML Cite"/>
    <w:basedOn w:val="13"/>
    <w:autoRedefine/>
    <w:qFormat/>
    <w:uiPriority w:val="99"/>
    <w:rPr>
      <w:i/>
      <w:iCs/>
    </w:rPr>
  </w:style>
  <w:style w:type="character" w:customStyle="1" w:styleId="19">
    <w:name w:val="正文文本 字符"/>
    <w:basedOn w:val="13"/>
    <w:link w:val="5"/>
    <w:autoRedefine/>
    <w:semiHidden/>
    <w:qFormat/>
    <w:uiPriority w:val="99"/>
    <w:rPr>
      <w:rFonts w:ascii="Calibri" w:hAnsi="Calibri" w:eastAsia="仿宋_GB2312" w:cs="Calibri"/>
      <w:sz w:val="32"/>
      <w:szCs w:val="32"/>
    </w:rPr>
  </w:style>
  <w:style w:type="character" w:customStyle="1" w:styleId="20">
    <w:name w:val="正文文本缩进 字符"/>
    <w:basedOn w:val="13"/>
    <w:link w:val="6"/>
    <w:autoRedefine/>
    <w:semiHidden/>
    <w:qFormat/>
    <w:uiPriority w:val="99"/>
    <w:rPr>
      <w:rFonts w:ascii="Calibri" w:hAnsi="Calibri" w:eastAsia="仿宋_GB2312" w:cs="Calibri"/>
      <w:sz w:val="32"/>
      <w:szCs w:val="32"/>
    </w:rPr>
  </w:style>
  <w:style w:type="character" w:customStyle="1" w:styleId="21">
    <w:name w:val="正文文本缩进 2 字符"/>
    <w:basedOn w:val="13"/>
    <w:link w:val="7"/>
    <w:autoRedefine/>
    <w:semiHidden/>
    <w:qFormat/>
    <w:uiPriority w:val="99"/>
    <w:rPr>
      <w:rFonts w:ascii="Calibri" w:hAnsi="Calibri" w:eastAsia="仿宋_GB2312" w:cs="Calibri"/>
      <w:sz w:val="32"/>
      <w:szCs w:val="32"/>
    </w:rPr>
  </w:style>
  <w:style w:type="character" w:customStyle="1" w:styleId="22">
    <w:name w:val="页脚 字符"/>
    <w:basedOn w:val="13"/>
    <w:link w:val="8"/>
    <w:autoRedefine/>
    <w:semiHidden/>
    <w:qFormat/>
    <w:uiPriority w:val="99"/>
    <w:rPr>
      <w:rFonts w:ascii="Calibri" w:hAnsi="Calibri" w:eastAsia="仿宋_GB2312" w:cs="Calibri"/>
      <w:sz w:val="18"/>
      <w:szCs w:val="18"/>
    </w:rPr>
  </w:style>
  <w:style w:type="character" w:customStyle="1" w:styleId="23">
    <w:name w:val="页眉 字符"/>
    <w:basedOn w:val="13"/>
    <w:link w:val="9"/>
    <w:autoRedefine/>
    <w:semiHidden/>
    <w:qFormat/>
    <w:uiPriority w:val="99"/>
    <w:rPr>
      <w:rFonts w:ascii="Calibri" w:hAnsi="Calibri" w:eastAsia="仿宋_GB2312" w:cs="Calibri"/>
      <w:sz w:val="18"/>
      <w:szCs w:val="18"/>
    </w:rPr>
  </w:style>
  <w:style w:type="character" w:customStyle="1" w:styleId="24">
    <w:name w:val="标题 字符"/>
    <w:basedOn w:val="13"/>
    <w:link w:val="11"/>
    <w:autoRedefine/>
    <w:qFormat/>
    <w:uiPriority w:val="10"/>
    <w:rPr>
      <w:rFonts w:asciiTheme="majorHAnsi" w:hAnsiTheme="majorHAnsi" w:cstheme="majorBidi"/>
      <w:b/>
      <w:bCs/>
      <w:sz w:val="32"/>
      <w:szCs w:val="32"/>
    </w:rPr>
  </w:style>
  <w:style w:type="paragraph" w:customStyle="1" w:styleId="25">
    <w:name w:val="办公自动化专用标题"/>
    <w:basedOn w:val="11"/>
    <w:autoRedefine/>
    <w:qFormat/>
    <w:uiPriority w:val="99"/>
    <w:pPr>
      <w:spacing w:line="560" w:lineRule="atLeast"/>
    </w:pPr>
    <w:rPr>
      <w:rFonts w:ascii="宋体" w:hAnsi="Arial" w:cs="宋体"/>
      <w:sz w:val="44"/>
      <w:szCs w:val="44"/>
    </w:rPr>
  </w:style>
  <w:style w:type="character" w:customStyle="1" w:styleId="26">
    <w:name w:val="hover11"/>
    <w:basedOn w:val="13"/>
    <w:autoRedefine/>
    <w:qFormat/>
    <w:uiPriority w:val="99"/>
  </w:style>
  <w:style w:type="paragraph" w:customStyle="1" w:styleId="27">
    <w:name w:val="UserStyle_0"/>
    <w:basedOn w:val="1"/>
    <w:autoRedefine/>
    <w:qFormat/>
    <w:uiPriority w:val="99"/>
    <w:pPr>
      <w:spacing w:line="276" w:lineRule="auto"/>
      <w:ind w:left="210" w:right="210" w:firstLine="600"/>
      <w:textAlignment w:val="baseline"/>
    </w:pPr>
    <w:rPr>
      <w:rFonts w:ascii="微软雅黑" w:hAnsi="Times New Roman" w:eastAsia="宋体" w:cs="微软雅黑"/>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61BB14-2556-4A41-B2AA-AC087D1D1BF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3418</Words>
  <Characters>3543</Characters>
  <Lines>2</Lines>
  <Paragraphs>8</Paragraphs>
  <TotalTime>2</TotalTime>
  <ScaleCrop>false</ScaleCrop>
  <LinksUpToDate>false</LinksUpToDate>
  <CharactersWithSpaces>3623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2024-02-26T03:55:00Z</dcterms:created>
  <dc:creator>liulu</dc:creator>
  <cp:lastModifiedBy>石头</cp:lastModifiedBy>
  <cp:lastPrinted>2024-01-10T01:55:00Z</cp:lastPrinted>
  <dcterms:modified xsi:type="dcterms:W3CDTF">2024-09-29T08:30:15Z</dcterms:modified>
  <dc:title>临泽县小泉子治沙试验站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62C0B8327DE5422993961EA1DF9371C0_13</vt:lpwstr>
  </property>
</Properties>
</file>