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D1F49">
      <w:pPr>
        <w:spacing w:before="120" w:after="120" w:line="480" w:lineRule="auto"/>
        <w:ind w:firstLine="0" w:firstLineChars="0"/>
        <w:jc w:val="left"/>
        <w:rPr>
          <w:rFonts w:hint="eastAsia" w:asciiTheme="minorEastAsia" w:hAnsiTheme="minorEastAsia" w:eastAsiaTheme="minorEastAsia" w:cstheme="minorEastAsia"/>
          <w:b w:val="0"/>
          <w:bCs w:val="0"/>
          <w:sz w:val="24"/>
          <w:szCs w:val="24"/>
          <w:lang w:val="en-US" w:eastAsia="zh-CN"/>
        </w:rPr>
      </w:pPr>
      <w:bookmarkStart w:id="6" w:name="_GoBack"/>
      <w:bookmarkEnd w:id="6"/>
      <w:r>
        <w:rPr>
          <w:rFonts w:hint="eastAsia" w:asciiTheme="minorEastAsia" w:hAnsiTheme="minorEastAsia" w:eastAsiaTheme="minorEastAsia" w:cstheme="minorEastAsia"/>
          <w:b w:val="0"/>
          <w:bCs w:val="0"/>
          <w:sz w:val="24"/>
          <w:szCs w:val="24"/>
          <w:lang w:val="en-US" w:eastAsia="zh-CN"/>
        </w:rPr>
        <w:t>附件5：</w:t>
      </w:r>
    </w:p>
    <w:p w14:paraId="3E7DF93D">
      <w:pPr>
        <w:spacing w:before="120" w:after="120" w:line="480" w:lineRule="auto"/>
        <w:ind w:firstLine="0" w:firstLineChars="0"/>
        <w:jc w:val="center"/>
        <w:rPr>
          <w:rFonts w:eastAsia="黑体"/>
          <w:b/>
          <w:bCs/>
          <w:sz w:val="40"/>
          <w:szCs w:val="40"/>
        </w:rPr>
      </w:pPr>
    </w:p>
    <w:p w14:paraId="0E6D0164">
      <w:pPr>
        <w:spacing w:before="120" w:after="120" w:line="480" w:lineRule="auto"/>
        <w:ind w:firstLine="0" w:firstLineChars="0"/>
        <w:jc w:val="center"/>
        <w:rPr>
          <w:rFonts w:eastAsia="黑体"/>
          <w:b/>
          <w:bCs/>
          <w:sz w:val="48"/>
          <w:szCs w:val="48"/>
        </w:rPr>
      </w:pPr>
    </w:p>
    <w:p w14:paraId="283EAAD6">
      <w:pPr>
        <w:spacing w:before="120" w:after="120" w:line="480" w:lineRule="auto"/>
        <w:ind w:firstLine="0" w:firstLineChars="0"/>
        <w:jc w:val="center"/>
        <w:rPr>
          <w:rFonts w:eastAsia="黑体"/>
          <w:b/>
          <w:bCs/>
          <w:sz w:val="48"/>
          <w:szCs w:val="48"/>
        </w:rPr>
      </w:pPr>
    </w:p>
    <w:p w14:paraId="63B1857E">
      <w:pPr>
        <w:spacing w:before="120" w:after="120" w:line="480" w:lineRule="auto"/>
        <w:ind w:firstLine="0" w:firstLineChars="0"/>
        <w:jc w:val="center"/>
        <w:rPr>
          <w:rFonts w:eastAsia="黑体"/>
          <w:b/>
          <w:bCs/>
          <w:sz w:val="48"/>
          <w:szCs w:val="48"/>
        </w:rPr>
      </w:pPr>
    </w:p>
    <w:p w14:paraId="29B372E9">
      <w:pPr>
        <w:spacing w:before="120" w:after="120" w:line="480" w:lineRule="auto"/>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部门整体支出绩效</w:t>
      </w:r>
      <w:r>
        <w:rPr>
          <w:rFonts w:hint="eastAsia" w:ascii="方正小标宋简体" w:hAnsi="方正小标宋简体" w:eastAsia="方正小标宋简体" w:cs="方正小标宋简体"/>
          <w:b w:val="0"/>
          <w:bCs w:val="0"/>
          <w:sz w:val="44"/>
          <w:szCs w:val="44"/>
          <w:lang w:val="en-US" w:eastAsia="zh-CN"/>
        </w:rPr>
        <w:t>自评</w:t>
      </w:r>
      <w:r>
        <w:rPr>
          <w:rFonts w:hint="eastAsia" w:ascii="方正小标宋简体" w:hAnsi="方正小标宋简体" w:eastAsia="方正小标宋简体" w:cs="方正小标宋简体"/>
          <w:b w:val="0"/>
          <w:bCs w:val="0"/>
          <w:sz w:val="44"/>
          <w:szCs w:val="44"/>
        </w:rPr>
        <w:t>报告</w:t>
      </w:r>
    </w:p>
    <w:p w14:paraId="6B3AC14B">
      <w:pPr>
        <w:widowControl/>
        <w:spacing w:before="120" w:after="120" w:line="480" w:lineRule="auto"/>
        <w:ind w:firstLine="0" w:firstLineChars="0"/>
        <w:jc w:val="center"/>
        <w:rPr>
          <w:rFonts w:hint="eastAsia" w:ascii="方正小标宋简体" w:hAnsi="方正小标宋简体" w:eastAsia="方正小标宋简体" w:cs="方正小标宋简体"/>
          <w:b w:val="0"/>
          <w:bCs w:val="0"/>
          <w:kern w:val="0"/>
          <w:sz w:val="44"/>
          <w:szCs w:val="44"/>
          <w:lang w:bidi="en-US"/>
        </w:rPr>
      </w:pPr>
    </w:p>
    <w:p w14:paraId="58813C08">
      <w:pPr>
        <w:widowControl/>
        <w:spacing w:before="120" w:after="120" w:line="480" w:lineRule="auto"/>
        <w:ind w:firstLine="0" w:firstLineChars="0"/>
        <w:jc w:val="center"/>
        <w:rPr>
          <w:rFonts w:eastAsia="黑体"/>
          <w:b/>
          <w:kern w:val="0"/>
          <w:sz w:val="44"/>
          <w:szCs w:val="44"/>
          <w:lang w:bidi="en-US"/>
        </w:rPr>
      </w:pPr>
    </w:p>
    <w:p w14:paraId="178C3B39">
      <w:pPr>
        <w:widowControl/>
        <w:spacing w:before="120" w:after="120" w:line="480" w:lineRule="auto"/>
        <w:ind w:firstLine="0" w:firstLineChars="0"/>
        <w:jc w:val="center"/>
        <w:rPr>
          <w:rFonts w:eastAsia="黑体"/>
          <w:b/>
          <w:kern w:val="0"/>
          <w:sz w:val="44"/>
          <w:szCs w:val="44"/>
          <w:lang w:bidi="en-US"/>
        </w:rPr>
      </w:pPr>
    </w:p>
    <w:p w14:paraId="3BB5D16E">
      <w:pPr>
        <w:widowControl/>
        <w:spacing w:before="120" w:after="120" w:line="360" w:lineRule="auto"/>
        <w:ind w:firstLine="0" w:firstLineChars="0"/>
        <w:jc w:val="center"/>
        <w:rPr>
          <w:rFonts w:eastAsia="黑体"/>
          <w:b/>
          <w:kern w:val="0"/>
          <w:szCs w:val="28"/>
          <w:lang w:bidi="en-US"/>
        </w:rPr>
      </w:pPr>
    </w:p>
    <w:p w14:paraId="76495566">
      <w:pPr>
        <w:widowControl/>
        <w:spacing w:before="120" w:line="240" w:lineRule="auto"/>
        <w:ind w:firstLine="0" w:firstLineChars="0"/>
        <w:jc w:val="center"/>
        <w:rPr>
          <w:rFonts w:hint="eastAsia" w:asciiTheme="minorEastAsia" w:hAnsiTheme="minorEastAsia" w:eastAsiaTheme="minorEastAsia" w:cstheme="minorEastAsia"/>
          <w:b/>
          <w:bCs/>
          <w:kern w:val="0"/>
          <w:sz w:val="32"/>
          <w:szCs w:val="32"/>
          <w:lang w:eastAsia="zh-CN" w:bidi="en-US"/>
        </w:rPr>
      </w:pPr>
    </w:p>
    <w:p w14:paraId="1EE982CB">
      <w:pPr>
        <w:widowControl/>
        <w:spacing w:before="120" w:line="240" w:lineRule="auto"/>
        <w:ind w:firstLine="0" w:firstLine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kern w:val="0"/>
          <w:sz w:val="32"/>
          <w:szCs w:val="32"/>
          <w:lang w:eastAsia="zh-CN" w:bidi="en-US"/>
        </w:rPr>
        <w:t>部门（</w:t>
      </w:r>
      <w:r>
        <w:rPr>
          <w:rFonts w:hint="eastAsia" w:asciiTheme="minorEastAsia" w:hAnsiTheme="minorEastAsia" w:eastAsiaTheme="minorEastAsia" w:cstheme="minorEastAsia"/>
          <w:b/>
          <w:bCs/>
          <w:kern w:val="0"/>
          <w:sz w:val="32"/>
          <w:szCs w:val="32"/>
          <w:lang w:bidi="en-US"/>
        </w:rPr>
        <w:t>单位</w:t>
      </w:r>
      <w:r>
        <w:rPr>
          <w:rFonts w:hint="eastAsia" w:asciiTheme="minorEastAsia" w:hAnsiTheme="minorEastAsia" w:eastAsiaTheme="minorEastAsia" w:cstheme="minorEastAsia"/>
          <w:b/>
          <w:bCs/>
          <w:kern w:val="0"/>
          <w:sz w:val="32"/>
          <w:szCs w:val="32"/>
          <w:lang w:eastAsia="zh-CN" w:bidi="en-US"/>
        </w:rPr>
        <w:t>）</w:t>
      </w:r>
      <w:r>
        <w:rPr>
          <w:rFonts w:hint="eastAsia" w:asciiTheme="minorEastAsia" w:hAnsiTheme="minorEastAsia" w:eastAsiaTheme="minorEastAsia" w:cstheme="minorEastAsia"/>
          <w:b/>
          <w:bCs/>
          <w:kern w:val="0"/>
          <w:sz w:val="32"/>
          <w:szCs w:val="32"/>
          <w:lang w:bidi="en-US"/>
        </w:rPr>
        <w:t>：</w:t>
      </w:r>
      <w:r>
        <w:rPr>
          <w:rFonts w:hint="eastAsia" w:asciiTheme="minorEastAsia" w:hAnsiTheme="minorEastAsia" w:eastAsiaTheme="minorEastAsia" w:cstheme="minorEastAsia"/>
          <w:b/>
          <w:bCs/>
          <w:kern w:val="0"/>
          <w:sz w:val="32"/>
          <w:szCs w:val="32"/>
          <w:lang w:eastAsia="zh-CN" w:bidi="en-US"/>
        </w:rPr>
        <w:t>临泽县</w:t>
      </w:r>
      <w:r>
        <w:rPr>
          <w:rFonts w:hint="eastAsia" w:asciiTheme="minorEastAsia" w:hAnsiTheme="minorEastAsia" w:eastAsiaTheme="minorEastAsia" w:cstheme="minorEastAsia"/>
          <w:b/>
          <w:bCs/>
          <w:kern w:val="0"/>
          <w:sz w:val="32"/>
          <w:szCs w:val="32"/>
          <w:lang w:val="en-US" w:eastAsia="zh-CN" w:bidi="en-US"/>
        </w:rPr>
        <w:t>老干部服务中心</w:t>
      </w:r>
    </w:p>
    <w:p w14:paraId="4AE95172">
      <w:pPr>
        <w:widowControl/>
        <w:spacing w:before="120" w:line="240" w:lineRule="auto"/>
        <w:ind w:firstLine="3855" w:firstLineChars="1200"/>
        <w:jc w:val="left"/>
        <w:rPr>
          <w:rFonts w:hint="eastAsia" w:asciiTheme="minorEastAsia" w:hAnsiTheme="minorEastAsia" w:eastAsiaTheme="minorEastAsia" w:cstheme="minorEastAsia"/>
          <w:b/>
          <w:bCs/>
          <w:sz w:val="32"/>
          <w:szCs w:val="32"/>
        </w:rPr>
      </w:pPr>
    </w:p>
    <w:p w14:paraId="5CEB8F40">
      <w:pPr>
        <w:widowControl/>
        <w:spacing w:before="120" w:line="24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20</w:t>
      </w:r>
      <w:r>
        <w:rPr>
          <w:rFonts w:hint="eastAsia" w:asciiTheme="minorEastAsia" w:hAnsiTheme="minorEastAsia" w:eastAsiaTheme="minorEastAsia" w:cstheme="minorEastAsia"/>
          <w:b/>
          <w:bCs/>
          <w:sz w:val="32"/>
          <w:szCs w:val="32"/>
          <w:lang w:val="en-US" w:eastAsia="zh-CN"/>
        </w:rPr>
        <w:t>25</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val="en-US" w:eastAsia="zh-CN"/>
        </w:rPr>
        <w:t>1</w:t>
      </w:r>
      <w:r>
        <w:rPr>
          <w:rFonts w:hint="eastAsia" w:asciiTheme="minorEastAsia" w:hAnsiTheme="minorEastAsia" w:eastAsiaTheme="minorEastAsia" w:cstheme="minorEastAsia"/>
          <w:b/>
          <w:bCs/>
          <w:sz w:val="32"/>
          <w:szCs w:val="32"/>
        </w:rPr>
        <w:t>月</w:t>
      </w:r>
    </w:p>
    <w:p w14:paraId="1B425553">
      <w:pPr>
        <w:pStyle w:val="19"/>
        <w:adjustRightInd w:val="0"/>
        <w:snapToGrid w:val="0"/>
        <w:spacing w:before="0" w:after="0"/>
        <w:jc w:val="both"/>
        <w:outlineLvl w:val="9"/>
        <w:rPr>
          <w:rFonts w:hint="eastAsia" w:ascii="方正小标宋简体" w:hAnsi="仿宋" w:eastAsia="方正小标宋简体"/>
          <w:sz w:val="36"/>
          <w:szCs w:val="36"/>
          <w:lang w:eastAsia="zh-CN"/>
        </w:rPr>
        <w:sectPr>
          <w:headerReference r:id="rId5" w:type="default"/>
          <w:footerReference r:id="rId6" w:type="default"/>
          <w:pgSz w:w="11906" w:h="16838"/>
          <w:pgMar w:top="2154" w:right="1531" w:bottom="1587" w:left="1587" w:header="851" w:footer="1417" w:gutter="0"/>
          <w:pgNumType w:fmt="numberInDash" w:start="1"/>
          <w:cols w:space="0" w:num="1"/>
          <w:docGrid w:type="lines" w:linePitch="436" w:charSpace="0"/>
        </w:sectPr>
      </w:pPr>
    </w:p>
    <w:p w14:paraId="3ABC72D1">
      <w:pPr>
        <w:pStyle w:val="19"/>
        <w:adjustRightInd w:val="0"/>
        <w:snapToGrid w:val="0"/>
        <w:spacing w:before="0" w:after="0"/>
        <w:jc w:val="center"/>
        <w:outlineLvl w:val="9"/>
        <w:rPr>
          <w:rFonts w:hint="eastAsia" w:ascii="方正小标宋简体" w:hAnsi="仿宋" w:eastAsia="方正小标宋简体"/>
          <w:sz w:val="36"/>
          <w:szCs w:val="36"/>
          <w:lang w:eastAsia="zh-CN"/>
        </w:rPr>
      </w:pPr>
    </w:p>
    <w:p w14:paraId="156E8643">
      <w:pPr>
        <w:pStyle w:val="19"/>
        <w:keepNext w:val="0"/>
        <w:keepLines w:val="0"/>
        <w:pageBreakBefore w:val="0"/>
        <w:kinsoku/>
        <w:wordWrap/>
        <w:overflowPunct/>
        <w:topLinePunct w:val="0"/>
        <w:autoSpaceDE/>
        <w:autoSpaceDN/>
        <w:bidi w:val="0"/>
        <w:adjustRightInd w:val="0"/>
        <w:snapToGrid w:val="0"/>
        <w:spacing w:before="0" w:after="0" w:line="600" w:lineRule="exact"/>
        <w:jc w:val="center"/>
        <w:textAlignment w:val="auto"/>
        <w:outlineLvl w:val="9"/>
        <w:rPr>
          <w:rFonts w:hint="eastAsia" w:ascii="方正小标宋简体" w:hAnsi="仿宋" w:eastAsia="方正小标宋简体"/>
          <w:b w:val="0"/>
          <w:bCs/>
          <w:sz w:val="44"/>
          <w:szCs w:val="44"/>
          <w:lang w:val="en-US" w:eastAsia="zh-CN"/>
        </w:rPr>
      </w:pPr>
      <w:r>
        <w:rPr>
          <w:rFonts w:hint="eastAsia" w:ascii="方正小标宋简体" w:hAnsi="仿宋" w:eastAsia="方正小标宋简体"/>
          <w:b w:val="0"/>
          <w:bCs/>
          <w:sz w:val="44"/>
          <w:szCs w:val="44"/>
          <w:lang w:eastAsia="zh-CN"/>
        </w:rPr>
        <w:t>临泽县</w:t>
      </w:r>
      <w:r>
        <w:rPr>
          <w:rFonts w:hint="eastAsia" w:ascii="方正小标宋简体" w:hAnsi="仿宋" w:eastAsia="方正小标宋简体"/>
          <w:b w:val="0"/>
          <w:bCs/>
          <w:sz w:val="44"/>
          <w:szCs w:val="44"/>
          <w:lang w:val="en-US" w:eastAsia="zh-CN"/>
        </w:rPr>
        <w:t>老干部服务中心</w:t>
      </w:r>
    </w:p>
    <w:p w14:paraId="22E50A91">
      <w:pPr>
        <w:pStyle w:val="19"/>
        <w:keepNext w:val="0"/>
        <w:keepLines w:val="0"/>
        <w:pageBreakBefore w:val="0"/>
        <w:kinsoku/>
        <w:wordWrap/>
        <w:overflowPunct/>
        <w:topLinePunct w:val="0"/>
        <w:autoSpaceDE/>
        <w:autoSpaceDN/>
        <w:bidi w:val="0"/>
        <w:adjustRightInd w:val="0"/>
        <w:snapToGrid w:val="0"/>
        <w:spacing w:before="0" w:after="0" w:line="600" w:lineRule="exact"/>
        <w:jc w:val="center"/>
        <w:textAlignment w:val="auto"/>
        <w:outlineLvl w:val="9"/>
        <w:rPr>
          <w:rFonts w:hint="eastAsia" w:ascii="方正小标宋简体" w:hAnsi="仿宋" w:eastAsia="方正小标宋简体"/>
          <w:b w:val="0"/>
          <w:bCs/>
          <w:sz w:val="44"/>
          <w:szCs w:val="44"/>
        </w:rPr>
      </w:pPr>
      <w:r>
        <w:rPr>
          <w:rFonts w:hint="eastAsia" w:ascii="方正小标宋简体" w:hAnsi="仿宋" w:eastAsia="方正小标宋简体"/>
          <w:b w:val="0"/>
          <w:bCs/>
          <w:sz w:val="44"/>
          <w:szCs w:val="44"/>
          <w:lang w:val="en-US" w:eastAsia="zh-CN"/>
        </w:rPr>
        <w:t>2024年</w:t>
      </w:r>
      <w:r>
        <w:rPr>
          <w:rFonts w:hint="eastAsia" w:ascii="方正小标宋简体" w:hAnsi="仿宋" w:eastAsia="方正小标宋简体"/>
          <w:b w:val="0"/>
          <w:bCs/>
          <w:sz w:val="44"/>
          <w:szCs w:val="44"/>
        </w:rPr>
        <w:t>整体支出绩效评价报告</w:t>
      </w:r>
    </w:p>
    <w:p w14:paraId="50726549">
      <w:pPr>
        <w:pStyle w:val="19"/>
        <w:keepNext w:val="0"/>
        <w:keepLines w:val="0"/>
        <w:pageBreakBefore w:val="0"/>
        <w:kinsoku/>
        <w:wordWrap/>
        <w:overflowPunct/>
        <w:topLinePunct w:val="0"/>
        <w:autoSpaceDE/>
        <w:autoSpaceDN/>
        <w:bidi w:val="0"/>
        <w:adjustRightInd w:val="0"/>
        <w:snapToGrid w:val="0"/>
        <w:spacing w:before="0" w:after="0" w:line="600" w:lineRule="exact"/>
        <w:jc w:val="both"/>
        <w:textAlignment w:val="auto"/>
        <w:outlineLvl w:val="9"/>
        <w:rPr>
          <w:rFonts w:hint="eastAsia" w:ascii="方正小标宋简体" w:hAnsi="仿宋" w:eastAsia="方正小标宋简体"/>
          <w:b w:val="0"/>
          <w:bCs/>
          <w:sz w:val="36"/>
          <w:szCs w:val="36"/>
          <w:lang w:eastAsia="zh-CN"/>
        </w:rPr>
      </w:pPr>
    </w:p>
    <w:p w14:paraId="40713B5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Cs w:val="32"/>
        </w:rPr>
      </w:pPr>
      <w:r>
        <w:rPr>
          <w:rFonts w:hint="eastAsia" w:ascii="黑体" w:hAnsi="黑体" w:eastAsia="黑体" w:cs="黑体"/>
          <w:b w:val="0"/>
          <w:bCs/>
          <w:szCs w:val="32"/>
        </w:rPr>
        <w:t>一、部门概况</w:t>
      </w:r>
    </w:p>
    <w:p w14:paraId="0FF72326">
      <w:pPr>
        <w:pStyle w:val="21"/>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（一）机构职能</w:t>
      </w:r>
    </w:p>
    <w:p w14:paraId="2EC0C7CE">
      <w:pPr>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kern w:val="0"/>
          <w:sz w:val="32"/>
          <w:szCs w:val="32"/>
          <w:lang w:val="en-US" w:eastAsia="zh-CN"/>
        </w:rPr>
        <w:t>老干部服务中心</w:t>
      </w:r>
      <w:r>
        <w:rPr>
          <w:rFonts w:hint="eastAsia" w:ascii="仿宋_GB2312" w:hAnsi="仿宋_GB2312" w:eastAsia="仿宋_GB2312" w:cs="仿宋_GB2312"/>
          <w:b/>
          <w:bCs/>
          <w:kern w:val="0"/>
          <w:sz w:val="32"/>
          <w:szCs w:val="32"/>
        </w:rPr>
        <w:t>主要职责</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sz w:val="32"/>
          <w:szCs w:val="32"/>
        </w:rPr>
        <w:t>贯彻执行党中央、国务院和省、市、县委关于老干部工作的方针政策；负责全县离休干部、实职岗位县级退休干部、离休干部遗属的服务，指导做好全县各级各类退休干部管理服务工作；</w:t>
      </w:r>
      <w:r>
        <w:rPr>
          <w:rFonts w:hint="eastAsia" w:ascii="仿宋_GB2312" w:hAnsi="仿宋_GB2312" w:eastAsia="仿宋_GB2312" w:cs="仿宋_GB2312"/>
          <w:sz w:val="32"/>
          <w:szCs w:val="32"/>
          <w:lang w:val="en-US" w:eastAsia="zh-CN"/>
        </w:rPr>
        <w:t>组织老干部学习政治理论、参加相关活动；走访慰问离休干部、县级退休干部、离休干部遗属；配合做好离休干部离休费、护理费调整、生活补贴发放、医药费报销审核工作；</w:t>
      </w:r>
      <w:r>
        <w:rPr>
          <w:rFonts w:hint="eastAsia" w:ascii="仿宋_GB2312" w:hAnsi="仿宋_GB2312" w:eastAsia="仿宋_GB2312" w:cs="仿宋_GB2312"/>
          <w:sz w:val="32"/>
          <w:szCs w:val="32"/>
        </w:rPr>
        <w:t>负责老干部活动中心、老年大学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老科协</w:t>
      </w:r>
      <w:r>
        <w:rPr>
          <w:rFonts w:hint="eastAsia" w:ascii="仿宋_GB2312" w:hAnsi="仿宋_GB2312" w:eastAsia="仿宋_GB2312" w:cs="仿宋_GB2312"/>
          <w:sz w:val="32"/>
          <w:szCs w:val="32"/>
        </w:rPr>
        <w:t>的日常工作，组织老干部开展健康向上的文体活动；协调办理涉及老干部的其他事宜；完成主管部门交办的其他工作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kern w:val="0"/>
          <w:sz w:val="32"/>
          <w:szCs w:val="32"/>
          <w:lang w:val="en-US" w:eastAsia="zh-CN"/>
        </w:rPr>
        <w:t>县关心下一代工作委员会办公室</w:t>
      </w:r>
      <w:r>
        <w:rPr>
          <w:rFonts w:hint="eastAsia" w:ascii="仿宋_GB2312" w:hAnsi="仿宋_GB2312" w:eastAsia="仿宋_GB2312" w:cs="仿宋_GB2312"/>
          <w:b/>
          <w:bCs/>
          <w:kern w:val="0"/>
          <w:sz w:val="32"/>
          <w:szCs w:val="32"/>
        </w:rPr>
        <w:t>主要职责</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color w:val="000000"/>
          <w:sz w:val="32"/>
          <w:szCs w:val="32"/>
        </w:rPr>
        <w:t>宣传贯彻党和国家关于未成年人保护和青少年思想道德建设的法律法规及方针政策</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指导各部门单位建立完善关工委组织；加强同基层关工委和有关部门的联系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组织“五老”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十大员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人员全方位、多层</w:t>
      </w:r>
      <w:r>
        <w:rPr>
          <w:rFonts w:hint="eastAsia" w:ascii="仿宋_GB2312" w:hAnsi="仿宋_GB2312" w:eastAsia="仿宋_GB2312" w:cs="仿宋_GB2312"/>
          <w:color w:val="000000"/>
          <w:sz w:val="32"/>
          <w:szCs w:val="32"/>
          <w:lang w:eastAsia="zh-CN"/>
        </w:rPr>
        <w:t>面的</w:t>
      </w:r>
      <w:r>
        <w:rPr>
          <w:rFonts w:hint="eastAsia" w:ascii="仿宋_GB2312" w:hAnsi="仿宋_GB2312" w:eastAsia="仿宋_GB2312" w:cs="仿宋_GB2312"/>
          <w:color w:val="000000"/>
          <w:sz w:val="32"/>
          <w:szCs w:val="32"/>
        </w:rPr>
        <w:t>义务奉献，开展关心教育青少年工作</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协调、动员社会各界力量，努力为青少年办实事、办好事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承办关工委日常工作</w:t>
      </w:r>
      <w:r>
        <w:rPr>
          <w:rFonts w:hint="eastAsia" w:ascii="仿宋_GB2312" w:hAnsi="仿宋_GB2312" w:eastAsia="仿宋_GB2312" w:cs="仿宋_GB2312"/>
          <w:color w:val="000000"/>
          <w:sz w:val="32"/>
          <w:szCs w:val="32"/>
          <w:lang w:val="en-US" w:eastAsia="zh-CN"/>
        </w:rPr>
        <w:t>；对全县各级关工委机构网络建设、队伍建设、制度建设、阵地建设和开展工作等情况进行检查督促指导。</w:t>
      </w:r>
    </w:p>
    <w:p w14:paraId="32C93D80">
      <w:pPr>
        <w:pStyle w:val="6"/>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w:t>
      </w:r>
      <w:r>
        <w:rPr>
          <w:rFonts w:hint="eastAsia" w:ascii="楷体_GB2312" w:hAnsi="楷体_GB2312" w:eastAsia="楷体_GB2312" w:cs="楷体_GB2312"/>
          <w:b/>
          <w:bCs/>
          <w:szCs w:val="32"/>
          <w:lang w:val="en-US" w:eastAsia="zh-CN"/>
        </w:rPr>
        <w:t>组织机构设置及</w:t>
      </w:r>
      <w:r>
        <w:rPr>
          <w:rFonts w:hint="eastAsia" w:ascii="楷体_GB2312" w:hAnsi="楷体_GB2312" w:eastAsia="楷体_GB2312" w:cs="楷体_GB2312"/>
          <w:b/>
          <w:bCs/>
          <w:szCs w:val="32"/>
        </w:rPr>
        <w:t>人员</w:t>
      </w:r>
      <w:r>
        <w:rPr>
          <w:rFonts w:hint="eastAsia" w:ascii="楷体_GB2312" w:hAnsi="楷体_GB2312" w:eastAsia="楷体_GB2312" w:cs="楷体_GB2312"/>
          <w:b/>
          <w:bCs/>
          <w:szCs w:val="32"/>
          <w:lang w:val="en-US" w:eastAsia="zh-CN"/>
        </w:rPr>
        <w:t>构成情况</w:t>
      </w:r>
    </w:p>
    <w:p w14:paraId="2063AD82">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部门由1个全额拨款事业单位和1个参公事业单位组成，县老干部服务中心和县关工委办公室合署办公，两块牌子一套人员，核定事业编制数7人，现有工作人员7人。单位内设综合办公室、党委办公室、财务办公室等3个股室。</w:t>
      </w:r>
    </w:p>
    <w:p w14:paraId="5531A34B">
      <w:pPr>
        <w:pStyle w:val="6"/>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楷体_GB2312" w:hAnsi="楷体_GB2312" w:eastAsia="楷体_GB2312" w:cs="楷体_GB2312"/>
          <w:b/>
          <w:bCs/>
          <w:szCs w:val="32"/>
          <w:lang w:val="en-US" w:eastAsia="zh-CN"/>
        </w:rPr>
      </w:pPr>
      <w:r>
        <w:rPr>
          <w:rFonts w:hint="eastAsia" w:ascii="楷体_GB2312" w:hAnsi="楷体_GB2312" w:eastAsia="楷体_GB2312" w:cs="楷体_GB2312"/>
          <w:b/>
          <w:bCs/>
          <w:szCs w:val="32"/>
        </w:rPr>
        <w:t>（三）</w:t>
      </w:r>
      <w:r>
        <w:rPr>
          <w:rFonts w:hint="eastAsia" w:ascii="楷体_GB2312" w:hAnsi="楷体_GB2312" w:eastAsia="楷体_GB2312" w:cs="楷体_GB2312"/>
          <w:b/>
          <w:bCs/>
          <w:szCs w:val="32"/>
          <w:lang w:val="en-US" w:eastAsia="zh-CN"/>
        </w:rPr>
        <w:t>部门整体预算批复及支出安排情况</w:t>
      </w:r>
    </w:p>
    <w:p w14:paraId="5DD13B3F">
      <w:pPr>
        <w:pStyle w:val="6"/>
        <w:keepNext w:val="0"/>
        <w:keepLines w:val="0"/>
        <w:pageBreakBefore w:val="0"/>
        <w:numPr>
          <w:ilvl w:val="0"/>
          <w:numId w:val="0"/>
        </w:numPr>
        <w:kinsoku/>
        <w:wordWrap/>
        <w:overflowPunct/>
        <w:topLinePunct w:val="0"/>
        <w:autoSpaceDE/>
        <w:autoSpaceDN/>
        <w:bidi w:val="0"/>
        <w:spacing w:line="600" w:lineRule="exact"/>
        <w:ind w:firstLine="643" w:firstLineChars="200"/>
        <w:jc w:val="both"/>
        <w:textAlignment w:val="auto"/>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lang w:val="en-US" w:eastAsia="zh-CN" w:bidi="ar-SA"/>
        </w:rPr>
        <w:t>（1）县本级财政资金预算执行情况</w:t>
      </w:r>
    </w:p>
    <w:p w14:paraId="2A3072EC">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县老干部服务中心2024年预算额232.14万元，实际支出总数</w:t>
      </w:r>
      <w:r>
        <w:rPr>
          <w:rFonts w:hint="eastAsia" w:ascii="仿宋_GB2312" w:hAnsi="仿宋_GB2312" w:cs="仿宋_GB2312"/>
          <w:color w:val="000000"/>
          <w:sz w:val="32"/>
          <w:szCs w:val="32"/>
          <w:lang w:val="en-US" w:eastAsia="zh-CN"/>
        </w:rPr>
        <w:t>190.82</w:t>
      </w:r>
      <w:r>
        <w:rPr>
          <w:rFonts w:hint="eastAsia" w:ascii="仿宋_GB2312" w:hAnsi="仿宋_GB2312" w:eastAsia="仿宋_GB2312" w:cs="仿宋_GB2312"/>
          <w:color w:val="000000"/>
          <w:sz w:val="32"/>
          <w:szCs w:val="32"/>
          <w:lang w:val="en-US" w:eastAsia="zh-CN"/>
        </w:rPr>
        <w:t>万元，预算执行率为</w:t>
      </w:r>
      <w:r>
        <w:rPr>
          <w:rFonts w:hint="eastAsia" w:ascii="仿宋_GB2312" w:hAnsi="仿宋_GB2312" w:cs="仿宋_GB2312"/>
          <w:color w:val="000000"/>
          <w:sz w:val="32"/>
          <w:szCs w:val="32"/>
          <w:lang w:val="en-US" w:eastAsia="zh-CN"/>
        </w:rPr>
        <w:t>82.20</w:t>
      </w:r>
      <w:r>
        <w:rPr>
          <w:rFonts w:hint="eastAsia" w:ascii="仿宋_GB2312" w:hAnsi="仿宋_GB2312" w:eastAsia="仿宋_GB2312" w:cs="仿宋_GB2312"/>
          <w:color w:val="000000"/>
          <w:sz w:val="32"/>
          <w:szCs w:val="32"/>
          <w:lang w:val="en-US" w:eastAsia="zh-CN"/>
        </w:rPr>
        <w:t>%，其中基本支出为</w:t>
      </w:r>
      <w:r>
        <w:rPr>
          <w:rFonts w:hint="eastAsia" w:ascii="仿宋_GB2312" w:hAnsi="仿宋_GB2312" w:cs="仿宋_GB2312"/>
          <w:color w:val="000000"/>
          <w:sz w:val="32"/>
          <w:szCs w:val="32"/>
          <w:lang w:val="en-US" w:eastAsia="zh-CN"/>
        </w:rPr>
        <w:t>131.34</w:t>
      </w:r>
      <w:r>
        <w:rPr>
          <w:rFonts w:hint="eastAsia" w:ascii="仿宋_GB2312" w:hAnsi="仿宋_GB2312" w:eastAsia="仿宋_GB2312" w:cs="仿宋_GB2312"/>
          <w:color w:val="000000"/>
          <w:sz w:val="32"/>
          <w:szCs w:val="32"/>
          <w:lang w:val="en-US" w:eastAsia="zh-CN"/>
        </w:rPr>
        <w:t>元，预算执行率为</w:t>
      </w:r>
      <w:r>
        <w:rPr>
          <w:rFonts w:hint="eastAsia" w:ascii="仿宋_GB2312" w:hAnsi="仿宋_GB2312" w:cs="仿宋_GB2312"/>
          <w:color w:val="000000"/>
          <w:sz w:val="32"/>
          <w:szCs w:val="32"/>
          <w:lang w:val="en-US" w:eastAsia="zh-CN"/>
        </w:rPr>
        <w:t>103.5</w:t>
      </w:r>
      <w:r>
        <w:rPr>
          <w:rFonts w:hint="eastAsia" w:ascii="仿宋_GB2312" w:hAnsi="仿宋_GB2312" w:eastAsia="仿宋_GB2312" w:cs="仿宋_GB2312"/>
          <w:color w:val="000000"/>
          <w:sz w:val="32"/>
          <w:szCs w:val="32"/>
          <w:lang w:val="en-US" w:eastAsia="zh-CN"/>
        </w:rPr>
        <w:t>%。资金执行情况如下表所示。</w:t>
      </w:r>
    </w:p>
    <w:p w14:paraId="5A45CD03">
      <w:pPr>
        <w:pStyle w:val="22"/>
        <w:keepNext w:val="0"/>
        <w:keepLines w:val="0"/>
        <w:pageBreakBefore w:val="0"/>
        <w:kinsoku/>
        <w:wordWrap/>
        <w:overflowPunct/>
        <w:topLinePunct w:val="0"/>
        <w:autoSpaceDE/>
        <w:autoSpaceDN/>
        <w:bidi w:val="0"/>
        <w:spacing w:line="600" w:lineRule="exact"/>
        <w:ind w:firstLine="643" w:firstLineChars="200"/>
        <w:jc w:val="center"/>
        <w:textAlignment w:val="auto"/>
        <w:rPr>
          <w:rFonts w:hint="eastAsia" w:ascii="仿宋_GB2312" w:hAnsi="仿宋_GB2312" w:eastAsia="仿宋_GB2312" w:cs="仿宋_GB2312"/>
          <w:b/>
        </w:rPr>
      </w:pPr>
      <w:r>
        <w:rPr>
          <w:rFonts w:hint="eastAsia" w:ascii="仿宋_GB2312" w:hAnsi="仿宋_GB2312" w:eastAsia="仿宋_GB2312" w:cs="仿宋_GB2312"/>
          <w:b/>
        </w:rPr>
        <w:t>20</w:t>
      </w:r>
      <w:r>
        <w:rPr>
          <w:rFonts w:hint="eastAsia" w:ascii="仿宋_GB2312" w:hAnsi="仿宋_GB2312" w:eastAsia="仿宋_GB2312" w:cs="仿宋_GB2312"/>
          <w:b/>
          <w:lang w:val="en-US"/>
        </w:rPr>
        <w:t>2</w:t>
      </w:r>
      <w:r>
        <w:rPr>
          <w:rFonts w:hint="eastAsia" w:ascii="仿宋_GB2312" w:hAnsi="仿宋_GB2312" w:eastAsia="仿宋_GB2312" w:cs="仿宋_GB2312"/>
          <w:b/>
          <w:lang w:val="en-US" w:eastAsia="zh-CN"/>
        </w:rPr>
        <w:t>4</w:t>
      </w:r>
      <w:r>
        <w:rPr>
          <w:rFonts w:hint="eastAsia" w:ascii="仿宋_GB2312" w:hAnsi="仿宋_GB2312" w:eastAsia="仿宋_GB2312" w:cs="仿宋_GB2312"/>
          <w:b/>
        </w:rPr>
        <w:t>年度</w:t>
      </w:r>
      <w:r>
        <w:rPr>
          <w:rFonts w:hint="eastAsia" w:ascii="仿宋_GB2312" w:hAnsi="仿宋_GB2312" w:eastAsia="仿宋_GB2312" w:cs="仿宋_GB2312"/>
          <w:b/>
          <w:lang w:val="en-US" w:eastAsia="zh-CN"/>
        </w:rPr>
        <w:t>老干部服务中心</w:t>
      </w:r>
      <w:r>
        <w:rPr>
          <w:rFonts w:hint="eastAsia" w:ascii="仿宋_GB2312" w:hAnsi="仿宋_GB2312" w:eastAsia="仿宋_GB2312" w:cs="仿宋_GB2312"/>
          <w:b/>
        </w:rPr>
        <w:t>资金预算执行表</w:t>
      </w:r>
    </w:p>
    <w:tbl>
      <w:tblPr>
        <w:tblStyle w:val="12"/>
        <w:tblW w:w="9322" w:type="dxa"/>
        <w:tblInd w:w="0" w:type="dxa"/>
        <w:tblLayout w:type="fixed"/>
        <w:tblCellMar>
          <w:top w:w="0" w:type="dxa"/>
          <w:left w:w="108" w:type="dxa"/>
          <w:bottom w:w="0" w:type="dxa"/>
          <w:right w:w="108" w:type="dxa"/>
        </w:tblCellMar>
      </w:tblPr>
      <w:tblGrid>
        <w:gridCol w:w="2378"/>
        <w:gridCol w:w="2266"/>
        <w:gridCol w:w="2410"/>
        <w:gridCol w:w="2268"/>
      </w:tblGrid>
      <w:tr w14:paraId="741BFA85">
        <w:tblPrEx>
          <w:tblCellMar>
            <w:top w:w="0" w:type="dxa"/>
            <w:left w:w="108" w:type="dxa"/>
            <w:bottom w:w="0" w:type="dxa"/>
            <w:right w:w="108" w:type="dxa"/>
          </w:tblCellMar>
        </w:tblPrEx>
        <w:trPr>
          <w:trHeight w:val="435" w:hRule="atLeast"/>
          <w:tblHeader/>
        </w:trPr>
        <w:tc>
          <w:tcPr>
            <w:tcW w:w="2378" w:type="dxa"/>
            <w:tcBorders>
              <w:top w:val="single" w:color="auto" w:sz="4" w:space="0"/>
              <w:left w:val="single" w:color="auto" w:sz="4" w:space="0"/>
              <w:bottom w:val="single" w:color="auto" w:sz="4" w:space="0"/>
              <w:right w:val="single" w:color="auto" w:sz="4" w:space="0"/>
            </w:tcBorders>
            <w:shd w:val="clear" w:color="auto" w:fill="auto"/>
            <w:vAlign w:val="center"/>
          </w:tcPr>
          <w:p w14:paraId="1ED02270">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kern w:val="0"/>
                <w:szCs w:val="28"/>
                <w:highlight w:val="none"/>
              </w:rPr>
            </w:pPr>
            <w:r>
              <w:rPr>
                <w:rFonts w:hint="eastAsia" w:ascii="仿宋_GB2312" w:hAnsi="仿宋_GB2312" w:eastAsia="仿宋_GB2312" w:cs="仿宋_GB2312"/>
                <w:kern w:val="0"/>
                <w:szCs w:val="28"/>
                <w:highlight w:val="none"/>
              </w:rPr>
              <w:t>项目</w:t>
            </w:r>
          </w:p>
        </w:tc>
        <w:tc>
          <w:tcPr>
            <w:tcW w:w="2266" w:type="dxa"/>
            <w:tcBorders>
              <w:top w:val="single" w:color="auto" w:sz="4" w:space="0"/>
              <w:left w:val="nil"/>
              <w:bottom w:val="single" w:color="auto" w:sz="4" w:space="0"/>
              <w:right w:val="single" w:color="auto" w:sz="4" w:space="0"/>
            </w:tcBorders>
            <w:shd w:val="clear" w:color="auto" w:fill="auto"/>
            <w:vAlign w:val="center"/>
          </w:tcPr>
          <w:p w14:paraId="735371B6">
            <w:pPr>
              <w:keepNext w:val="0"/>
              <w:keepLines w:val="0"/>
              <w:pageBreakBefore w:val="0"/>
              <w:widowControl/>
              <w:kinsoku/>
              <w:wordWrap/>
              <w:overflowPunct/>
              <w:topLinePunct w:val="0"/>
              <w:autoSpaceDE/>
              <w:autoSpaceDN/>
              <w:bidi w:val="0"/>
              <w:spacing w:line="600" w:lineRule="exact"/>
              <w:jc w:val="both"/>
              <w:textAlignment w:val="auto"/>
              <w:rPr>
                <w:rFonts w:hint="eastAsia" w:ascii="仿宋_GB2312" w:hAnsi="仿宋_GB2312" w:eastAsia="仿宋_GB2312" w:cs="仿宋_GB2312"/>
                <w:kern w:val="0"/>
                <w:szCs w:val="28"/>
                <w:highlight w:val="none"/>
              </w:rPr>
            </w:pPr>
            <w:r>
              <w:rPr>
                <w:rFonts w:hint="eastAsia" w:ascii="仿宋_GB2312" w:hAnsi="仿宋_GB2312" w:eastAsia="仿宋_GB2312" w:cs="仿宋_GB2312"/>
                <w:kern w:val="0"/>
                <w:szCs w:val="28"/>
                <w:highlight w:val="none"/>
              </w:rPr>
              <w:t>预算数（万元）</w:t>
            </w:r>
          </w:p>
        </w:tc>
        <w:tc>
          <w:tcPr>
            <w:tcW w:w="2410" w:type="dxa"/>
            <w:tcBorders>
              <w:top w:val="single" w:color="auto" w:sz="4" w:space="0"/>
              <w:left w:val="nil"/>
              <w:bottom w:val="single" w:color="auto" w:sz="4" w:space="0"/>
              <w:right w:val="single" w:color="auto" w:sz="4" w:space="0"/>
            </w:tcBorders>
            <w:shd w:val="clear" w:color="auto" w:fill="auto"/>
            <w:vAlign w:val="center"/>
          </w:tcPr>
          <w:p w14:paraId="1ECFB597">
            <w:pPr>
              <w:keepNext w:val="0"/>
              <w:keepLines w:val="0"/>
              <w:pageBreakBefore w:val="0"/>
              <w:widowControl/>
              <w:kinsoku/>
              <w:wordWrap/>
              <w:overflowPunct/>
              <w:topLinePunct w:val="0"/>
              <w:autoSpaceDE/>
              <w:autoSpaceDN/>
              <w:bidi w:val="0"/>
              <w:spacing w:line="600" w:lineRule="exact"/>
              <w:jc w:val="both"/>
              <w:textAlignment w:val="auto"/>
              <w:rPr>
                <w:rFonts w:hint="eastAsia" w:ascii="仿宋_GB2312" w:hAnsi="仿宋_GB2312" w:eastAsia="仿宋_GB2312" w:cs="仿宋_GB2312"/>
                <w:kern w:val="0"/>
                <w:szCs w:val="28"/>
                <w:highlight w:val="none"/>
              </w:rPr>
            </w:pPr>
            <w:r>
              <w:rPr>
                <w:rFonts w:hint="eastAsia" w:ascii="仿宋_GB2312" w:hAnsi="仿宋_GB2312" w:eastAsia="仿宋_GB2312" w:cs="仿宋_GB2312"/>
                <w:kern w:val="0"/>
                <w:szCs w:val="28"/>
                <w:highlight w:val="none"/>
              </w:rPr>
              <w:t>执行数（万元）</w:t>
            </w:r>
          </w:p>
        </w:tc>
        <w:tc>
          <w:tcPr>
            <w:tcW w:w="2268" w:type="dxa"/>
            <w:tcBorders>
              <w:top w:val="single" w:color="auto" w:sz="4" w:space="0"/>
              <w:left w:val="nil"/>
              <w:bottom w:val="single" w:color="auto" w:sz="4" w:space="0"/>
              <w:right w:val="single" w:color="auto" w:sz="4" w:space="0"/>
            </w:tcBorders>
            <w:shd w:val="clear" w:color="auto" w:fill="auto"/>
            <w:vAlign w:val="center"/>
          </w:tcPr>
          <w:p w14:paraId="26A73F69">
            <w:pPr>
              <w:keepNext w:val="0"/>
              <w:keepLines w:val="0"/>
              <w:pageBreakBefore w:val="0"/>
              <w:widowControl/>
              <w:kinsoku/>
              <w:wordWrap/>
              <w:overflowPunct/>
              <w:topLinePunct w:val="0"/>
              <w:autoSpaceDE/>
              <w:autoSpaceDN/>
              <w:bidi w:val="0"/>
              <w:spacing w:line="600" w:lineRule="exact"/>
              <w:jc w:val="both"/>
              <w:textAlignment w:val="auto"/>
              <w:rPr>
                <w:rFonts w:hint="eastAsia" w:ascii="仿宋_GB2312" w:hAnsi="仿宋_GB2312" w:eastAsia="仿宋_GB2312" w:cs="仿宋_GB2312"/>
                <w:kern w:val="0"/>
                <w:szCs w:val="28"/>
                <w:highlight w:val="none"/>
                <w:lang w:eastAsia="zh-CN"/>
              </w:rPr>
            </w:pPr>
            <w:r>
              <w:rPr>
                <w:rFonts w:hint="eastAsia" w:ascii="仿宋_GB2312" w:hAnsi="仿宋_GB2312" w:eastAsia="仿宋_GB2312" w:cs="仿宋_GB2312"/>
                <w:kern w:val="0"/>
                <w:szCs w:val="28"/>
                <w:highlight w:val="none"/>
              </w:rPr>
              <w:t>预算执行率</w:t>
            </w:r>
            <w:r>
              <w:rPr>
                <w:rFonts w:hint="eastAsia" w:ascii="仿宋_GB2312" w:hAnsi="仿宋_GB2312" w:cs="仿宋_GB2312"/>
                <w:kern w:val="0"/>
                <w:szCs w:val="28"/>
                <w:highlight w:val="none"/>
                <w:lang w:eastAsia="zh-CN"/>
              </w:rPr>
              <w:t>（</w:t>
            </w:r>
            <w:r>
              <w:rPr>
                <w:rFonts w:hint="eastAsia" w:ascii="仿宋_GB2312" w:hAnsi="仿宋_GB2312" w:cs="仿宋_GB2312"/>
                <w:kern w:val="0"/>
                <w:szCs w:val="28"/>
                <w:highlight w:val="none"/>
                <w:lang w:val="en-US" w:eastAsia="zh-CN"/>
              </w:rPr>
              <w:t>%</w:t>
            </w:r>
            <w:r>
              <w:rPr>
                <w:rFonts w:hint="eastAsia" w:ascii="仿宋_GB2312" w:hAnsi="仿宋_GB2312" w:cs="仿宋_GB2312"/>
                <w:kern w:val="0"/>
                <w:szCs w:val="28"/>
                <w:highlight w:val="none"/>
                <w:lang w:eastAsia="zh-CN"/>
              </w:rPr>
              <w:t>）</w:t>
            </w:r>
          </w:p>
        </w:tc>
      </w:tr>
      <w:tr w14:paraId="3F421725">
        <w:tblPrEx>
          <w:tblCellMar>
            <w:top w:w="0" w:type="dxa"/>
            <w:left w:w="108" w:type="dxa"/>
            <w:bottom w:w="0" w:type="dxa"/>
            <w:right w:w="108" w:type="dxa"/>
          </w:tblCellMar>
        </w:tblPrEx>
        <w:trPr>
          <w:trHeight w:val="435" w:hRule="atLeast"/>
        </w:trPr>
        <w:tc>
          <w:tcPr>
            <w:tcW w:w="2378" w:type="dxa"/>
            <w:tcBorders>
              <w:top w:val="nil"/>
              <w:left w:val="single" w:color="auto" w:sz="4" w:space="0"/>
              <w:bottom w:val="single" w:color="auto" w:sz="4" w:space="0"/>
              <w:right w:val="single" w:color="auto" w:sz="4" w:space="0"/>
            </w:tcBorders>
            <w:shd w:val="clear" w:color="FFFFFF" w:fill="FFFFFF"/>
            <w:vAlign w:val="center"/>
          </w:tcPr>
          <w:p w14:paraId="1C2F392A">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eastAsia="zh-CN" w:bidi="ar-SA"/>
              </w:rPr>
              <w:t>基本支出</w:t>
            </w:r>
          </w:p>
        </w:tc>
        <w:tc>
          <w:tcPr>
            <w:tcW w:w="2266" w:type="dxa"/>
            <w:tcBorders>
              <w:top w:val="nil"/>
              <w:left w:val="nil"/>
              <w:bottom w:val="single" w:color="auto" w:sz="4" w:space="0"/>
              <w:right w:val="single" w:color="auto" w:sz="4" w:space="0"/>
            </w:tcBorders>
            <w:shd w:val="clear" w:color="auto" w:fill="auto"/>
            <w:vAlign w:val="center"/>
          </w:tcPr>
          <w:p w14:paraId="33AF84C6">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0"/>
                <w:szCs w:val="28"/>
                <w:highlight w:val="none"/>
                <w:lang w:val="en-US" w:eastAsia="zh-CN"/>
              </w:rPr>
            </w:pPr>
            <w:r>
              <w:rPr>
                <w:rFonts w:hint="eastAsia" w:ascii="仿宋_GB2312" w:hAnsi="仿宋_GB2312" w:eastAsia="仿宋_GB2312" w:cs="仿宋_GB2312"/>
                <w:color w:val="auto"/>
                <w:kern w:val="0"/>
                <w:szCs w:val="28"/>
                <w:highlight w:val="none"/>
                <w:lang w:val="en-US" w:eastAsia="zh-CN"/>
              </w:rPr>
              <w:t>126.91</w:t>
            </w:r>
          </w:p>
        </w:tc>
        <w:tc>
          <w:tcPr>
            <w:tcW w:w="2410" w:type="dxa"/>
            <w:tcBorders>
              <w:top w:val="nil"/>
              <w:left w:val="nil"/>
              <w:bottom w:val="single" w:color="auto" w:sz="4" w:space="0"/>
              <w:right w:val="single" w:color="auto" w:sz="4" w:space="0"/>
            </w:tcBorders>
            <w:shd w:val="clear" w:color="auto" w:fill="auto"/>
            <w:vAlign w:val="center"/>
          </w:tcPr>
          <w:p w14:paraId="508519E0">
            <w:pPr>
              <w:keepNext w:val="0"/>
              <w:keepLines w:val="0"/>
              <w:pageBreakBefore w:val="0"/>
              <w:widowControl/>
              <w:kinsoku/>
              <w:wordWrap/>
              <w:overflowPunct/>
              <w:topLinePunct w:val="0"/>
              <w:autoSpaceDE/>
              <w:autoSpaceDN/>
              <w:bidi w:val="0"/>
              <w:spacing w:line="600" w:lineRule="exact"/>
              <w:jc w:val="center"/>
              <w:textAlignment w:val="auto"/>
              <w:rPr>
                <w:rFonts w:hint="default" w:ascii="仿宋_GB2312" w:hAnsi="仿宋_GB2312" w:eastAsia="仿宋_GB2312" w:cs="仿宋_GB2312"/>
                <w:color w:val="auto"/>
                <w:kern w:val="0"/>
                <w:szCs w:val="28"/>
                <w:highlight w:val="none"/>
                <w:lang w:val="en-US" w:eastAsia="zh-CN"/>
              </w:rPr>
            </w:pPr>
            <w:r>
              <w:rPr>
                <w:rFonts w:hint="eastAsia" w:ascii="仿宋_GB2312" w:hAnsi="仿宋_GB2312" w:cs="仿宋_GB2312"/>
                <w:color w:val="auto"/>
                <w:kern w:val="0"/>
                <w:szCs w:val="28"/>
                <w:highlight w:val="none"/>
                <w:lang w:val="en-US" w:eastAsia="zh-CN"/>
              </w:rPr>
              <w:t>131.34</w:t>
            </w:r>
          </w:p>
        </w:tc>
        <w:tc>
          <w:tcPr>
            <w:tcW w:w="2268" w:type="dxa"/>
            <w:tcBorders>
              <w:top w:val="nil"/>
              <w:left w:val="nil"/>
              <w:bottom w:val="single" w:color="auto" w:sz="4" w:space="0"/>
              <w:right w:val="single" w:color="auto" w:sz="4" w:space="0"/>
            </w:tcBorders>
            <w:shd w:val="clear" w:color="auto" w:fill="auto"/>
            <w:vAlign w:val="center"/>
          </w:tcPr>
          <w:p w14:paraId="3EC6A830">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kern w:val="0"/>
                <w:szCs w:val="28"/>
                <w:highlight w:val="none"/>
                <w:lang w:val="en-US" w:eastAsia="zh-CN"/>
              </w:rPr>
            </w:pPr>
            <w:r>
              <w:rPr>
                <w:rFonts w:hint="eastAsia" w:ascii="仿宋_GB2312" w:hAnsi="仿宋_GB2312" w:cs="仿宋_GB2312"/>
                <w:kern w:val="0"/>
                <w:szCs w:val="28"/>
                <w:highlight w:val="none"/>
                <w:lang w:val="en-US" w:eastAsia="zh-CN"/>
              </w:rPr>
              <w:t>103.5</w:t>
            </w:r>
            <w:r>
              <w:rPr>
                <w:rFonts w:hint="eastAsia" w:ascii="仿宋_GB2312" w:hAnsi="仿宋_GB2312" w:eastAsia="仿宋_GB2312" w:cs="仿宋_GB2312"/>
                <w:kern w:val="0"/>
                <w:szCs w:val="28"/>
                <w:highlight w:val="none"/>
                <w:lang w:val="en-US" w:eastAsia="zh-CN"/>
              </w:rPr>
              <w:t>%</w:t>
            </w:r>
          </w:p>
        </w:tc>
      </w:tr>
      <w:tr w14:paraId="386BA242">
        <w:tblPrEx>
          <w:tblCellMar>
            <w:top w:w="0" w:type="dxa"/>
            <w:left w:w="108" w:type="dxa"/>
            <w:bottom w:w="0" w:type="dxa"/>
            <w:right w:w="108" w:type="dxa"/>
          </w:tblCellMar>
        </w:tblPrEx>
        <w:trPr>
          <w:trHeight w:val="435" w:hRule="atLeast"/>
        </w:trPr>
        <w:tc>
          <w:tcPr>
            <w:tcW w:w="2378" w:type="dxa"/>
            <w:tcBorders>
              <w:top w:val="nil"/>
              <w:left w:val="single" w:color="auto" w:sz="4" w:space="0"/>
              <w:bottom w:val="single" w:color="auto" w:sz="4" w:space="0"/>
              <w:right w:val="single" w:color="auto" w:sz="4" w:space="0"/>
            </w:tcBorders>
            <w:shd w:val="clear" w:color="FFFFFF" w:fill="FFFFFF"/>
            <w:vAlign w:val="center"/>
          </w:tcPr>
          <w:p w14:paraId="6567F55A">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项目支出</w:t>
            </w:r>
          </w:p>
        </w:tc>
        <w:tc>
          <w:tcPr>
            <w:tcW w:w="2266" w:type="dxa"/>
            <w:tcBorders>
              <w:top w:val="nil"/>
              <w:left w:val="nil"/>
              <w:bottom w:val="single" w:color="auto" w:sz="4" w:space="0"/>
              <w:right w:val="single" w:color="auto" w:sz="4" w:space="0"/>
            </w:tcBorders>
            <w:shd w:val="clear" w:color="auto" w:fill="auto"/>
            <w:vAlign w:val="center"/>
          </w:tcPr>
          <w:p w14:paraId="48FE4F45">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0"/>
                <w:szCs w:val="28"/>
                <w:highlight w:val="none"/>
                <w:lang w:val="en-US" w:eastAsia="zh-CN"/>
              </w:rPr>
            </w:pPr>
            <w:r>
              <w:rPr>
                <w:rFonts w:hint="eastAsia" w:ascii="仿宋_GB2312" w:hAnsi="仿宋_GB2312" w:eastAsia="仿宋_GB2312" w:cs="仿宋_GB2312"/>
                <w:color w:val="auto"/>
                <w:kern w:val="0"/>
                <w:szCs w:val="28"/>
                <w:highlight w:val="none"/>
                <w:lang w:val="en-US" w:eastAsia="zh-CN"/>
              </w:rPr>
              <w:t>105.23</w:t>
            </w:r>
          </w:p>
        </w:tc>
        <w:tc>
          <w:tcPr>
            <w:tcW w:w="2410" w:type="dxa"/>
            <w:tcBorders>
              <w:top w:val="nil"/>
              <w:left w:val="nil"/>
              <w:bottom w:val="single" w:color="auto" w:sz="4" w:space="0"/>
              <w:right w:val="single" w:color="auto" w:sz="4" w:space="0"/>
            </w:tcBorders>
            <w:shd w:val="clear" w:color="auto" w:fill="auto"/>
            <w:vAlign w:val="center"/>
          </w:tcPr>
          <w:p w14:paraId="4FAF6891">
            <w:pPr>
              <w:keepNext w:val="0"/>
              <w:keepLines w:val="0"/>
              <w:pageBreakBefore w:val="0"/>
              <w:widowControl/>
              <w:kinsoku/>
              <w:wordWrap/>
              <w:overflowPunct/>
              <w:topLinePunct w:val="0"/>
              <w:autoSpaceDE/>
              <w:autoSpaceDN/>
              <w:bidi w:val="0"/>
              <w:spacing w:line="600" w:lineRule="exact"/>
              <w:jc w:val="center"/>
              <w:textAlignment w:val="auto"/>
              <w:rPr>
                <w:rFonts w:hint="default" w:ascii="仿宋_GB2312" w:hAnsi="仿宋_GB2312" w:eastAsia="仿宋_GB2312" w:cs="仿宋_GB2312"/>
                <w:color w:val="auto"/>
                <w:kern w:val="0"/>
                <w:szCs w:val="28"/>
                <w:highlight w:val="none"/>
                <w:lang w:val="en-US" w:eastAsia="zh-CN"/>
              </w:rPr>
            </w:pPr>
            <w:r>
              <w:rPr>
                <w:rFonts w:hint="eastAsia" w:ascii="仿宋_GB2312" w:hAnsi="仿宋_GB2312" w:cs="仿宋_GB2312"/>
                <w:color w:val="auto"/>
                <w:kern w:val="0"/>
                <w:szCs w:val="28"/>
                <w:highlight w:val="none"/>
                <w:lang w:val="en-US" w:eastAsia="zh-CN"/>
              </w:rPr>
              <w:t>59.48</w:t>
            </w:r>
          </w:p>
        </w:tc>
        <w:tc>
          <w:tcPr>
            <w:tcW w:w="2268" w:type="dxa"/>
            <w:tcBorders>
              <w:top w:val="nil"/>
              <w:left w:val="nil"/>
              <w:bottom w:val="single" w:color="auto" w:sz="4" w:space="0"/>
              <w:right w:val="single" w:color="auto" w:sz="4" w:space="0"/>
            </w:tcBorders>
            <w:shd w:val="clear" w:color="auto" w:fill="auto"/>
            <w:vAlign w:val="center"/>
          </w:tcPr>
          <w:p w14:paraId="6EC274F8">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kern w:val="0"/>
                <w:szCs w:val="28"/>
                <w:highlight w:val="none"/>
                <w:lang w:val="en-US" w:eastAsia="zh-CN"/>
              </w:rPr>
            </w:pPr>
            <w:r>
              <w:rPr>
                <w:rFonts w:hint="eastAsia" w:ascii="仿宋_GB2312" w:hAnsi="仿宋_GB2312" w:cs="仿宋_GB2312"/>
                <w:kern w:val="0"/>
                <w:szCs w:val="28"/>
                <w:highlight w:val="none"/>
                <w:lang w:val="en-US" w:eastAsia="zh-CN"/>
              </w:rPr>
              <w:t>56.52</w:t>
            </w:r>
            <w:r>
              <w:rPr>
                <w:rFonts w:hint="eastAsia" w:ascii="仿宋_GB2312" w:hAnsi="仿宋_GB2312" w:eastAsia="仿宋_GB2312" w:cs="仿宋_GB2312"/>
                <w:kern w:val="0"/>
                <w:szCs w:val="28"/>
                <w:highlight w:val="none"/>
                <w:lang w:val="en-US" w:eastAsia="zh-CN"/>
              </w:rPr>
              <w:t>%</w:t>
            </w:r>
          </w:p>
        </w:tc>
      </w:tr>
      <w:tr w14:paraId="0BA59309">
        <w:tblPrEx>
          <w:tblCellMar>
            <w:top w:w="0" w:type="dxa"/>
            <w:left w:w="108" w:type="dxa"/>
            <w:bottom w:w="0" w:type="dxa"/>
            <w:right w:w="108" w:type="dxa"/>
          </w:tblCellMar>
        </w:tblPrEx>
        <w:trPr>
          <w:trHeight w:val="435" w:hRule="atLeast"/>
        </w:trPr>
        <w:tc>
          <w:tcPr>
            <w:tcW w:w="2378" w:type="dxa"/>
            <w:tcBorders>
              <w:top w:val="nil"/>
              <w:left w:val="single" w:color="auto" w:sz="4" w:space="0"/>
              <w:bottom w:val="single" w:color="auto" w:sz="4" w:space="0"/>
              <w:right w:val="single" w:color="auto" w:sz="4" w:space="0"/>
            </w:tcBorders>
            <w:shd w:val="clear" w:color="000000" w:fill="FFFFFF"/>
            <w:vAlign w:val="center"/>
          </w:tcPr>
          <w:p w14:paraId="6BC9CBE4">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zh-CN" w:eastAsia="zh-CN" w:bidi="ar-SA"/>
              </w:rPr>
            </w:pPr>
            <w:r>
              <w:rPr>
                <w:rFonts w:hint="eastAsia" w:ascii="仿宋_GB2312" w:hAnsi="仿宋_GB2312" w:eastAsia="仿宋_GB2312" w:cs="仿宋_GB2312"/>
                <w:color w:val="auto"/>
                <w:kern w:val="0"/>
                <w:sz w:val="32"/>
                <w:szCs w:val="32"/>
                <w:highlight w:val="none"/>
                <w:lang w:val="zh-CN" w:eastAsia="zh-CN" w:bidi="ar-SA"/>
              </w:rPr>
              <w:t>合计</w:t>
            </w:r>
          </w:p>
        </w:tc>
        <w:tc>
          <w:tcPr>
            <w:tcW w:w="2266" w:type="dxa"/>
            <w:tcBorders>
              <w:top w:val="nil"/>
              <w:left w:val="nil"/>
              <w:bottom w:val="single" w:color="auto" w:sz="4" w:space="0"/>
              <w:right w:val="single" w:color="auto" w:sz="4" w:space="0"/>
            </w:tcBorders>
            <w:shd w:val="clear" w:color="auto" w:fill="auto"/>
            <w:vAlign w:val="center"/>
          </w:tcPr>
          <w:p w14:paraId="13D82668">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0"/>
                <w:szCs w:val="28"/>
                <w:highlight w:val="none"/>
                <w:lang w:val="en-US" w:eastAsia="zh-CN"/>
              </w:rPr>
            </w:pPr>
            <w:r>
              <w:rPr>
                <w:rFonts w:hint="eastAsia" w:ascii="仿宋_GB2312" w:hAnsi="仿宋_GB2312" w:eastAsia="仿宋_GB2312" w:cs="仿宋_GB2312"/>
                <w:color w:val="auto"/>
                <w:kern w:val="0"/>
                <w:szCs w:val="28"/>
                <w:highlight w:val="none"/>
                <w:lang w:val="en-US" w:eastAsia="zh-CN"/>
              </w:rPr>
              <w:t>232.14</w:t>
            </w:r>
          </w:p>
        </w:tc>
        <w:tc>
          <w:tcPr>
            <w:tcW w:w="2410" w:type="dxa"/>
            <w:tcBorders>
              <w:top w:val="nil"/>
              <w:left w:val="nil"/>
              <w:bottom w:val="single" w:color="auto" w:sz="4" w:space="0"/>
              <w:right w:val="single" w:color="auto" w:sz="4" w:space="0"/>
            </w:tcBorders>
            <w:shd w:val="clear" w:color="auto" w:fill="auto"/>
            <w:vAlign w:val="center"/>
          </w:tcPr>
          <w:p w14:paraId="63FDECB6">
            <w:pPr>
              <w:keepNext w:val="0"/>
              <w:keepLines w:val="0"/>
              <w:pageBreakBefore w:val="0"/>
              <w:widowControl/>
              <w:kinsoku/>
              <w:wordWrap/>
              <w:overflowPunct/>
              <w:topLinePunct w:val="0"/>
              <w:autoSpaceDE/>
              <w:autoSpaceDN/>
              <w:bidi w:val="0"/>
              <w:spacing w:line="600" w:lineRule="exact"/>
              <w:jc w:val="center"/>
              <w:textAlignment w:val="auto"/>
              <w:rPr>
                <w:rFonts w:hint="default" w:ascii="仿宋_GB2312" w:hAnsi="仿宋_GB2312" w:cs="仿宋_GB2312"/>
                <w:color w:val="auto"/>
                <w:kern w:val="0"/>
                <w:szCs w:val="28"/>
                <w:highlight w:val="none"/>
                <w:lang w:val="en-US" w:eastAsia="zh-CN"/>
              </w:rPr>
            </w:pPr>
            <w:r>
              <w:rPr>
                <w:rFonts w:hint="eastAsia" w:ascii="仿宋_GB2312" w:hAnsi="仿宋_GB2312" w:cs="仿宋_GB2312"/>
                <w:color w:val="auto"/>
                <w:kern w:val="0"/>
                <w:szCs w:val="28"/>
                <w:highlight w:val="none"/>
                <w:lang w:val="en-US" w:eastAsia="zh-CN"/>
              </w:rPr>
              <w:t>190.82</w:t>
            </w:r>
          </w:p>
        </w:tc>
        <w:tc>
          <w:tcPr>
            <w:tcW w:w="2268" w:type="dxa"/>
            <w:tcBorders>
              <w:top w:val="nil"/>
              <w:left w:val="nil"/>
              <w:bottom w:val="single" w:color="auto" w:sz="4" w:space="0"/>
              <w:right w:val="single" w:color="auto" w:sz="4" w:space="0"/>
            </w:tcBorders>
            <w:shd w:val="clear" w:color="auto" w:fill="auto"/>
            <w:vAlign w:val="center"/>
          </w:tcPr>
          <w:p w14:paraId="7C8F7C59">
            <w:pPr>
              <w:keepNext w:val="0"/>
              <w:keepLines w:val="0"/>
              <w:pageBreakBefore w:val="0"/>
              <w:widowControl/>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kern w:val="0"/>
                <w:szCs w:val="28"/>
                <w:highlight w:val="none"/>
              </w:rPr>
            </w:pPr>
            <w:r>
              <w:rPr>
                <w:rFonts w:hint="eastAsia" w:ascii="仿宋_GB2312" w:hAnsi="仿宋_GB2312" w:cs="仿宋_GB2312"/>
                <w:kern w:val="0"/>
                <w:szCs w:val="28"/>
                <w:highlight w:val="none"/>
                <w:lang w:val="en-US" w:eastAsia="zh-CN"/>
              </w:rPr>
              <w:t>82.20</w:t>
            </w:r>
            <w:r>
              <w:rPr>
                <w:rFonts w:hint="eastAsia" w:ascii="仿宋_GB2312" w:hAnsi="仿宋_GB2312" w:eastAsia="仿宋_GB2312" w:cs="仿宋_GB2312"/>
                <w:kern w:val="0"/>
                <w:szCs w:val="28"/>
                <w:highlight w:val="none"/>
                <w:lang w:val="en-US" w:eastAsia="zh-CN"/>
              </w:rPr>
              <w:t>%</w:t>
            </w:r>
          </w:p>
        </w:tc>
      </w:tr>
    </w:tbl>
    <w:p w14:paraId="0EC0BAAA">
      <w:pPr>
        <w:pStyle w:val="6"/>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仿宋_GB2312" w:hAnsi="宋体" w:eastAsia="仿宋_GB2312" w:cs="宋体"/>
          <w:b/>
          <w:bCs/>
          <w:kern w:val="0"/>
          <w:sz w:val="32"/>
          <w:szCs w:val="32"/>
          <w:lang w:val="zh-CN" w:eastAsia="zh-CN" w:bidi="ar-SA"/>
        </w:rPr>
      </w:pPr>
      <w:r>
        <w:rPr>
          <w:rFonts w:hint="eastAsia" w:ascii="仿宋_GB2312" w:hAnsi="宋体" w:eastAsia="仿宋_GB2312" w:cs="宋体"/>
          <w:b/>
          <w:bCs/>
          <w:kern w:val="0"/>
          <w:sz w:val="32"/>
          <w:szCs w:val="32"/>
          <w:lang w:val="zh-CN" w:eastAsia="zh-CN" w:bidi="ar-SA"/>
        </w:rPr>
        <w:t>（2）上级下达部门资金预算执行情况</w:t>
      </w:r>
    </w:p>
    <w:p w14:paraId="1308CE9A">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lang w:val="zh-CN" w:eastAsia="zh-CN"/>
        </w:rPr>
        <w:t>上级下达</w:t>
      </w:r>
      <w:r>
        <w:rPr>
          <w:rFonts w:hint="eastAsia" w:ascii="仿宋_GB2312" w:hAnsi="仿宋_GB2312" w:eastAsia="仿宋_GB2312" w:cs="仿宋_GB2312"/>
          <w:color w:val="000000"/>
          <w:sz w:val="32"/>
          <w:szCs w:val="32"/>
          <w:lang w:val="en-US" w:eastAsia="zh-CN"/>
        </w:rPr>
        <w:t>专项经费0万元，同级部门转拨资金1.3万元，执行数1.3万元，执行率100%。</w:t>
      </w:r>
    </w:p>
    <w:p w14:paraId="1B08EA66">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eastAsia" w:ascii="黑体" w:hAnsi="黑体" w:eastAsia="黑体" w:cs="黑体"/>
          <w:lang w:eastAsia="zh-CN"/>
        </w:rPr>
      </w:pPr>
      <w:r>
        <w:rPr>
          <w:rFonts w:hint="eastAsia" w:ascii="黑体" w:hAnsi="黑体" w:eastAsia="黑体" w:cs="黑体"/>
          <w:b/>
          <w:szCs w:val="32"/>
          <w:lang w:eastAsia="zh-CN"/>
        </w:rPr>
        <w:t>二、</w:t>
      </w:r>
      <w:r>
        <w:rPr>
          <w:rFonts w:hint="eastAsia" w:ascii="黑体" w:hAnsi="黑体" w:eastAsia="黑体" w:cs="黑体"/>
          <w:b/>
          <w:szCs w:val="32"/>
        </w:rPr>
        <w:t>评价工作开展</w:t>
      </w:r>
    </w:p>
    <w:p w14:paraId="40A54D8D">
      <w:pPr>
        <w:pStyle w:val="6"/>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（一）绩效评价实施过程</w:t>
      </w:r>
    </w:p>
    <w:p w14:paraId="3CF261CF">
      <w:pPr>
        <w:pStyle w:val="22"/>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本次绩效评价自</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年1月启动，主要通过</w:t>
      </w:r>
      <w:r>
        <w:rPr>
          <w:rFonts w:hint="eastAsia" w:ascii="仿宋_GB2312" w:hAnsi="仿宋_GB2312" w:cs="仿宋_GB2312"/>
          <w:sz w:val="32"/>
          <w:szCs w:val="32"/>
          <w:lang w:val="en-US" w:eastAsia="zh-CN"/>
        </w:rPr>
        <w:t>本单位</w:t>
      </w:r>
      <w:r>
        <w:rPr>
          <w:rFonts w:hint="eastAsia" w:ascii="仿宋_GB2312" w:hAnsi="仿宋_GB2312" w:eastAsia="仿宋_GB2312" w:cs="仿宋_GB2312"/>
          <w:sz w:val="32"/>
          <w:szCs w:val="32"/>
        </w:rPr>
        <w:t>基本情况、预算</w:t>
      </w:r>
      <w:r>
        <w:rPr>
          <w:rFonts w:hint="eastAsia" w:ascii="仿宋_GB2312" w:hAnsi="仿宋_GB2312" w:cs="仿宋_GB2312"/>
          <w:sz w:val="32"/>
          <w:szCs w:val="32"/>
          <w:lang w:val="en-US" w:eastAsia="zh-CN"/>
        </w:rPr>
        <w:t>情况</w:t>
      </w:r>
      <w:r>
        <w:rPr>
          <w:rFonts w:hint="eastAsia" w:ascii="仿宋_GB2312" w:hAnsi="仿宋_GB2312" w:eastAsia="仿宋_GB2312" w:cs="仿宋_GB2312"/>
          <w:sz w:val="32"/>
          <w:szCs w:val="32"/>
        </w:rPr>
        <w:t>、战略目标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组织架构等基础信息</w:t>
      </w:r>
      <w:r>
        <w:rPr>
          <w:rFonts w:hint="eastAsia" w:ascii="仿宋_GB2312" w:hAnsi="仿宋_GB2312" w:cs="仿宋_GB2312"/>
          <w:sz w:val="32"/>
          <w:szCs w:val="32"/>
          <w:lang w:val="en-US" w:eastAsia="zh-CN"/>
        </w:rPr>
        <w:t>的采集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开展相关</w:t>
      </w:r>
      <w:r>
        <w:rPr>
          <w:rFonts w:hint="eastAsia" w:ascii="仿宋_GB2312" w:hAnsi="仿宋_GB2312" w:cs="仿宋_GB2312"/>
          <w:sz w:val="32"/>
          <w:szCs w:val="32"/>
          <w:lang w:val="en-US" w:eastAsia="zh-CN"/>
        </w:rPr>
        <w:t>测评</w:t>
      </w:r>
      <w:r>
        <w:rPr>
          <w:rFonts w:hint="eastAsia" w:ascii="仿宋_GB2312" w:hAnsi="仿宋_GB2312" w:eastAsia="仿宋_GB2312" w:cs="仿宋_GB2312"/>
          <w:sz w:val="32"/>
          <w:szCs w:val="32"/>
        </w:rPr>
        <w:t>工作。主要实施过程如下：</w:t>
      </w:r>
    </w:p>
    <w:p w14:paraId="11838396">
      <w:pPr>
        <w:pStyle w:val="22"/>
        <w:keepNext w:val="0"/>
        <w:keepLines w:val="0"/>
        <w:pageBreakBefore w:val="0"/>
        <w:widowControl w:val="0"/>
        <w:kinsoku/>
        <w:wordWrap/>
        <w:overflowPunct/>
        <w:topLinePunct w:val="0"/>
        <w:autoSpaceDE/>
        <w:autoSpaceDN/>
        <w:bidi w:val="0"/>
        <w:spacing w:line="600" w:lineRule="exact"/>
        <w:ind w:left="0" w:leftChars="0" w:firstLine="643"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1</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前期</w:t>
      </w:r>
      <w:r>
        <w:rPr>
          <w:rFonts w:hint="eastAsia" w:ascii="仿宋_GB2312" w:hAnsi="仿宋_GB2312" w:eastAsia="仿宋_GB2312" w:cs="仿宋_GB2312"/>
          <w:b/>
          <w:sz w:val="32"/>
          <w:szCs w:val="32"/>
          <w:lang w:eastAsia="zh-CN"/>
        </w:rPr>
        <w:t>准备</w:t>
      </w:r>
    </w:p>
    <w:p w14:paraId="3C6DCAE2">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月开始，基本确定了20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临泽县</w:t>
      </w:r>
      <w:r>
        <w:rPr>
          <w:rFonts w:hint="eastAsia" w:ascii="仿宋_GB2312" w:hAnsi="仿宋_GB2312" w:cs="仿宋_GB2312"/>
          <w:sz w:val="32"/>
          <w:szCs w:val="32"/>
          <w:lang w:val="en-US" w:eastAsia="zh-CN"/>
        </w:rPr>
        <w:t>老干部服务中心</w:t>
      </w:r>
      <w:r>
        <w:rPr>
          <w:rFonts w:hint="eastAsia" w:ascii="仿宋_GB2312" w:hAnsi="仿宋_GB2312" w:eastAsia="仿宋_GB2312" w:cs="仿宋_GB2312"/>
          <w:sz w:val="32"/>
          <w:szCs w:val="32"/>
        </w:rPr>
        <w:t>部门整体评价的实施内容、工作范围、评价目标等，并通过相关资料和数据的基础信息，设计了部门整体评价指标体系与</w:t>
      </w:r>
      <w:r>
        <w:rPr>
          <w:rFonts w:hint="eastAsia" w:ascii="仿宋_GB2312" w:hAnsi="仿宋_GB2312" w:cs="仿宋_GB2312"/>
          <w:sz w:val="32"/>
          <w:szCs w:val="32"/>
          <w:lang w:val="en-US" w:eastAsia="zh-CN"/>
        </w:rPr>
        <w:t>本单位</w:t>
      </w:r>
      <w:r>
        <w:rPr>
          <w:rFonts w:hint="eastAsia" w:ascii="仿宋_GB2312" w:hAnsi="仿宋_GB2312" w:eastAsia="仿宋_GB2312" w:cs="仿宋_GB2312"/>
          <w:sz w:val="32"/>
          <w:szCs w:val="32"/>
        </w:rPr>
        <w:t>相关基础信息采集表。</w:t>
      </w:r>
    </w:p>
    <w:p w14:paraId="10A908B9">
      <w:pPr>
        <w:pStyle w:val="22"/>
        <w:keepNext w:val="0"/>
        <w:keepLines w:val="0"/>
        <w:pageBreakBefore w:val="0"/>
        <w:widowControl w:val="0"/>
        <w:kinsoku/>
        <w:wordWrap/>
        <w:overflowPunct/>
        <w:topLinePunct w:val="0"/>
        <w:autoSpaceDE/>
        <w:autoSpaceDN/>
        <w:bidi w:val="0"/>
        <w:spacing w:line="600" w:lineRule="exact"/>
        <w:ind w:left="0" w:leftChars="0" w:firstLine="643" w:firstLineChars="200"/>
        <w:jc w:val="both"/>
        <w:textAlignment w:val="auto"/>
        <w:rPr>
          <w:rFonts w:hint="eastAsia" w:ascii="仿宋_GB2312" w:hAnsi="仿宋_GB2312" w:eastAsia="仿宋_GB2312" w:cs="仿宋_GB2312"/>
          <w:b/>
          <w:sz w:val="32"/>
          <w:szCs w:val="32"/>
        </w:rPr>
      </w:pPr>
      <w:bookmarkStart w:id="0" w:name="_Toc343641673"/>
      <w:bookmarkStart w:id="1" w:name="_Toc356400138"/>
      <w:bookmarkStart w:id="2" w:name="_Toc360067907"/>
      <w:bookmarkStart w:id="3" w:name="_Toc366411941"/>
      <w:bookmarkStart w:id="4" w:name="_Toc366093883"/>
      <w:bookmarkStart w:id="5" w:name="_Toc361813819"/>
      <w:r>
        <w:rPr>
          <w:rFonts w:hint="eastAsia" w:ascii="仿宋_GB2312" w:hAnsi="仿宋_GB2312" w:eastAsia="仿宋_GB2312" w:cs="仿宋_GB2312"/>
          <w:b/>
          <w:sz w:val="32"/>
          <w:szCs w:val="32"/>
          <w:lang w:val="en-US" w:eastAsia="zh-CN"/>
        </w:rPr>
        <w:t>2</w:t>
      </w:r>
      <w:r>
        <w:rPr>
          <w:rFonts w:hint="eastAsia" w:ascii="仿宋_GB2312" w:hAnsi="仿宋_GB2312" w:cs="仿宋_GB2312"/>
          <w:b/>
          <w:sz w:val="32"/>
          <w:szCs w:val="32"/>
          <w:lang w:eastAsia="zh-CN"/>
        </w:rPr>
        <w:t>.</w:t>
      </w:r>
      <w:r>
        <w:rPr>
          <w:rFonts w:hint="eastAsia" w:ascii="仿宋_GB2312" w:hAnsi="仿宋_GB2312" w:eastAsia="仿宋_GB2312" w:cs="仿宋_GB2312"/>
          <w:b/>
          <w:sz w:val="32"/>
          <w:szCs w:val="32"/>
        </w:rPr>
        <w:t>数据分析及报告</w:t>
      </w:r>
      <w:bookmarkEnd w:id="0"/>
      <w:bookmarkEnd w:id="1"/>
      <w:r>
        <w:rPr>
          <w:rFonts w:hint="eastAsia" w:ascii="仿宋_GB2312" w:hAnsi="仿宋_GB2312" w:eastAsia="仿宋_GB2312" w:cs="仿宋_GB2312"/>
          <w:b/>
          <w:sz w:val="32"/>
          <w:szCs w:val="32"/>
        </w:rPr>
        <w:t>撰写</w:t>
      </w:r>
      <w:bookmarkEnd w:id="2"/>
      <w:bookmarkEnd w:id="3"/>
      <w:bookmarkEnd w:id="4"/>
      <w:bookmarkEnd w:id="5"/>
    </w:p>
    <w:p w14:paraId="1080903C">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根据部门整体绩效评价的原理和规范，对采集的数据进行处理、分析和评分，提炼结论撰写报告，并不断修正完善。</w:t>
      </w:r>
    </w:p>
    <w:p w14:paraId="79CE8E52">
      <w:pPr>
        <w:pStyle w:val="2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Cs w:val="32"/>
        </w:rPr>
      </w:pPr>
      <w:r>
        <w:rPr>
          <w:rFonts w:hint="eastAsia" w:ascii="楷体" w:hAnsi="楷体" w:eastAsia="楷体" w:cs="楷体"/>
          <w:b/>
          <w:bCs/>
          <w:szCs w:val="32"/>
          <w:lang w:eastAsia="zh-CN"/>
        </w:rPr>
        <w:t>（</w:t>
      </w:r>
      <w:r>
        <w:rPr>
          <w:rFonts w:hint="eastAsia" w:ascii="楷体" w:hAnsi="楷体" w:eastAsia="楷体" w:cs="楷体"/>
          <w:b/>
          <w:bCs/>
          <w:szCs w:val="32"/>
          <w:lang w:val="en-US" w:eastAsia="zh-CN"/>
        </w:rPr>
        <w:t>二</w:t>
      </w:r>
      <w:r>
        <w:rPr>
          <w:rFonts w:hint="eastAsia" w:ascii="楷体" w:hAnsi="楷体" w:eastAsia="楷体" w:cs="楷体"/>
          <w:b/>
          <w:bCs/>
          <w:szCs w:val="32"/>
          <w:lang w:eastAsia="zh-CN"/>
        </w:rPr>
        <w:t>）</w:t>
      </w:r>
      <w:r>
        <w:rPr>
          <w:rFonts w:hint="eastAsia" w:ascii="楷体" w:hAnsi="楷体" w:eastAsia="楷体" w:cs="楷体"/>
          <w:b/>
          <w:bCs/>
          <w:szCs w:val="32"/>
        </w:rPr>
        <w:t>绩效评价整体结果概况</w:t>
      </w:r>
    </w:p>
    <w:p w14:paraId="63AF5A27">
      <w:pPr>
        <w:pStyle w:val="2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本单位</w:t>
      </w:r>
      <w:r>
        <w:rPr>
          <w:rFonts w:hint="eastAsia" w:ascii="仿宋_GB2312" w:hAnsi="仿宋_GB2312" w:eastAsia="仿宋_GB2312" w:cs="仿宋_GB2312"/>
          <w:color w:val="auto"/>
          <w:sz w:val="32"/>
          <w:szCs w:val="32"/>
        </w:rPr>
        <w:t>根据基础数据，对20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临泽县</w:t>
      </w:r>
      <w:r>
        <w:rPr>
          <w:rFonts w:hint="eastAsia" w:ascii="仿宋_GB2312" w:hAnsi="仿宋_GB2312" w:cs="仿宋_GB2312"/>
          <w:color w:val="auto"/>
          <w:sz w:val="32"/>
          <w:szCs w:val="32"/>
          <w:lang w:val="en-US" w:eastAsia="zh-CN"/>
        </w:rPr>
        <w:t>老干部服务中心</w:t>
      </w:r>
      <w:r>
        <w:rPr>
          <w:rFonts w:hint="eastAsia" w:ascii="仿宋_GB2312" w:hAnsi="仿宋_GB2312" w:eastAsia="仿宋_GB2312" w:cs="仿宋_GB2312"/>
          <w:color w:val="auto"/>
          <w:sz w:val="32"/>
          <w:szCs w:val="32"/>
        </w:rPr>
        <w:t>整体支出进行了独立评分，最终评分结果为</w:t>
      </w:r>
      <w:r>
        <w:rPr>
          <w:rFonts w:hint="eastAsia" w:ascii="仿宋_GB2312" w:hAnsi="仿宋_GB2312" w:cs="仿宋_GB2312"/>
          <w:color w:val="auto"/>
          <w:sz w:val="32"/>
          <w:szCs w:val="32"/>
          <w:lang w:val="en-US" w:eastAsia="zh-CN"/>
        </w:rPr>
        <w:t>92.41</w:t>
      </w:r>
      <w:r>
        <w:rPr>
          <w:rFonts w:hint="eastAsia" w:ascii="仿宋_GB2312" w:hAnsi="仿宋_GB2312" w:eastAsia="仿宋_GB2312" w:cs="仿宋_GB2312"/>
          <w:color w:val="auto"/>
          <w:sz w:val="32"/>
          <w:szCs w:val="32"/>
        </w:rPr>
        <w:t>分，绩效评级为“</w:t>
      </w:r>
      <w:r>
        <w:rPr>
          <w:rFonts w:hint="eastAsia" w:ascii="仿宋_GB2312" w:hAnsi="仿宋_GB2312" w:cs="仿宋_GB2312"/>
          <w:color w:val="auto"/>
          <w:sz w:val="32"/>
          <w:szCs w:val="32"/>
          <w:lang w:val="en-US" w:eastAsia="zh-CN"/>
        </w:rPr>
        <w:t>优</w:t>
      </w:r>
      <w:r>
        <w:rPr>
          <w:rFonts w:hint="eastAsia" w:ascii="仿宋_GB2312" w:hAnsi="仿宋_GB2312" w:eastAsia="仿宋_GB2312" w:cs="仿宋_GB2312"/>
          <w:color w:val="auto"/>
          <w:sz w:val="32"/>
          <w:szCs w:val="32"/>
        </w:rPr>
        <w:t>”。总体而言，</w:t>
      </w:r>
      <w:r>
        <w:rPr>
          <w:rFonts w:hint="eastAsia" w:ascii="仿宋_GB2312" w:hAnsi="仿宋_GB2312" w:eastAsia="仿宋_GB2312" w:cs="仿宋_GB2312"/>
          <w:color w:val="auto"/>
          <w:sz w:val="32"/>
          <w:szCs w:val="32"/>
          <w:lang w:eastAsia="zh-CN"/>
        </w:rPr>
        <w:t>临泽县</w:t>
      </w:r>
      <w:r>
        <w:rPr>
          <w:rFonts w:hint="eastAsia" w:ascii="仿宋_GB2312" w:hAnsi="仿宋_GB2312" w:cs="仿宋_GB2312"/>
          <w:color w:val="auto"/>
          <w:sz w:val="32"/>
          <w:szCs w:val="32"/>
          <w:lang w:val="en-US" w:eastAsia="zh-CN"/>
        </w:rPr>
        <w:t>老干部服务中心</w:t>
      </w:r>
      <w:r>
        <w:rPr>
          <w:rFonts w:hint="eastAsia" w:ascii="仿宋_GB2312" w:hAnsi="仿宋_GB2312" w:eastAsia="仿宋_GB2312" w:cs="仿宋_GB2312"/>
          <w:color w:val="auto"/>
          <w:sz w:val="32"/>
          <w:szCs w:val="32"/>
        </w:rPr>
        <w:t>部门管理制度健全，部门履职、部门效果、满意度及社会评价情况好，绩效信息管理完善性等方面还有待提升。</w:t>
      </w:r>
    </w:p>
    <w:p w14:paraId="78B63967">
      <w:pPr>
        <w:pStyle w:val="6"/>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黑体" w:hAnsi="黑体" w:eastAsia="黑体" w:cs="黑体"/>
          <w:b/>
          <w:sz w:val="32"/>
          <w:szCs w:val="32"/>
        </w:rPr>
      </w:pPr>
      <w:r>
        <w:rPr>
          <w:rFonts w:hint="eastAsia" w:ascii="黑体" w:hAnsi="黑体" w:eastAsia="黑体" w:cs="黑体"/>
          <w:b/>
          <w:sz w:val="32"/>
          <w:szCs w:val="32"/>
        </w:rPr>
        <w:t>三、部门整体支出绩效评价分析</w:t>
      </w:r>
    </w:p>
    <w:p w14:paraId="18C1F478">
      <w:pPr>
        <w:pStyle w:val="6"/>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楷体" w:hAnsi="楷体" w:eastAsia="楷体" w:cs="楷体"/>
          <w:b/>
          <w:bCs/>
        </w:rPr>
      </w:pPr>
      <w:r>
        <w:rPr>
          <w:rFonts w:hint="eastAsia" w:ascii="楷体" w:hAnsi="楷体" w:eastAsia="楷体" w:cs="楷体"/>
          <w:b/>
          <w:bCs/>
        </w:rPr>
        <w:t>（一）投入情况分析</w:t>
      </w:r>
    </w:p>
    <w:p w14:paraId="1585620D">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编制情况分析：按照预算管理有关规定，2024年部门支出预算，仅包括机关本级预算。2024年支出预算232.14万元，比2023年预算增加94.55万元，增长68.72%，增加的主要原因：一是工作人员增加，相关经费同步增加；二是上年结转项目资金多。当年预算实际支出</w:t>
      </w:r>
      <w:r>
        <w:rPr>
          <w:rFonts w:hint="eastAsia" w:ascii="仿宋_GB2312" w:hAnsi="仿宋_GB2312" w:cs="仿宋_GB2312"/>
          <w:sz w:val="32"/>
          <w:szCs w:val="32"/>
          <w:lang w:val="en-US" w:eastAsia="zh-CN"/>
        </w:rPr>
        <w:t>190.82</w:t>
      </w:r>
      <w:r>
        <w:rPr>
          <w:rFonts w:hint="eastAsia" w:ascii="仿宋_GB2312" w:hAnsi="仿宋_GB2312" w:eastAsia="仿宋_GB2312" w:cs="仿宋_GB2312"/>
          <w:sz w:val="32"/>
          <w:szCs w:val="32"/>
          <w:lang w:val="en-US" w:eastAsia="zh-CN"/>
        </w:rPr>
        <w:t>万元，占总预算</w:t>
      </w:r>
      <w:r>
        <w:rPr>
          <w:rFonts w:hint="eastAsia" w:ascii="仿宋_GB2312" w:hAnsi="仿宋_GB2312" w:cs="仿宋_GB2312"/>
          <w:sz w:val="32"/>
          <w:szCs w:val="32"/>
          <w:lang w:val="en-US" w:eastAsia="zh-CN"/>
        </w:rPr>
        <w:t>82.20</w:t>
      </w:r>
      <w:r>
        <w:rPr>
          <w:rFonts w:hint="eastAsia" w:ascii="仿宋_GB2312" w:hAnsi="仿宋_GB2312" w:eastAsia="仿宋_GB2312" w:cs="仿宋_GB2312"/>
          <w:sz w:val="32"/>
          <w:szCs w:val="32"/>
          <w:lang w:val="en-US" w:eastAsia="zh-CN"/>
        </w:rPr>
        <w:t>%。当年财政拨款主要是：一般公共服务支出</w:t>
      </w:r>
      <w:r>
        <w:rPr>
          <w:rFonts w:hint="eastAsia" w:ascii="仿宋_GB2312" w:hAnsi="仿宋_GB2312" w:cs="仿宋_GB2312"/>
          <w:sz w:val="32"/>
          <w:szCs w:val="32"/>
          <w:lang w:val="en-US" w:eastAsia="zh-CN"/>
        </w:rPr>
        <w:t>154.07</w:t>
      </w:r>
      <w:r>
        <w:rPr>
          <w:rFonts w:hint="eastAsia" w:ascii="仿宋_GB2312" w:hAnsi="仿宋_GB2312" w:eastAsia="仿宋_GB2312" w:cs="仿宋_GB2312"/>
          <w:sz w:val="32"/>
          <w:szCs w:val="32"/>
          <w:lang w:val="en-US" w:eastAsia="zh-CN"/>
        </w:rPr>
        <w:t>万元、社会保障和就业支出19.4</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万元、卫生健康支出5.85万元、住房保障支出11.46万元。</w:t>
      </w:r>
    </w:p>
    <w:p w14:paraId="4C7D2E4F">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2.预算配置情况分析：2024年支出预算配置主要为：一般公共预算财政拨款基本支出</w:t>
      </w:r>
      <w:r>
        <w:rPr>
          <w:rFonts w:hint="eastAsia" w:ascii="仿宋_GB2312" w:hAnsi="仿宋_GB2312" w:cs="仿宋_GB2312"/>
          <w:sz w:val="32"/>
          <w:szCs w:val="32"/>
          <w:lang w:val="en-US" w:eastAsia="zh-CN"/>
        </w:rPr>
        <w:t>126.92</w:t>
      </w:r>
      <w:r>
        <w:rPr>
          <w:rFonts w:hint="eastAsia" w:ascii="仿宋_GB2312" w:hAnsi="仿宋_GB2312" w:eastAsia="仿宋_GB2312" w:cs="仿宋_GB2312"/>
          <w:sz w:val="32"/>
          <w:szCs w:val="32"/>
          <w:lang w:val="en-US" w:eastAsia="zh-CN"/>
        </w:rPr>
        <w:t>万元，与2023年预算配置相比减少了</w:t>
      </w:r>
      <w:r>
        <w:rPr>
          <w:rFonts w:hint="eastAsia" w:ascii="仿宋_GB2312" w:hAnsi="仿宋_GB2312" w:cs="仿宋_GB2312"/>
          <w:sz w:val="32"/>
          <w:szCs w:val="32"/>
          <w:lang w:val="en-US" w:eastAsia="zh-CN"/>
        </w:rPr>
        <w:t>10.67</w:t>
      </w:r>
      <w:r>
        <w:rPr>
          <w:rFonts w:hint="eastAsia" w:ascii="仿宋_GB2312" w:hAnsi="仿宋_GB2312" w:eastAsia="仿宋_GB2312" w:cs="仿宋_GB2312"/>
          <w:sz w:val="32"/>
          <w:szCs w:val="32"/>
          <w:lang w:val="en-US" w:eastAsia="zh-CN"/>
        </w:rPr>
        <w:t>万元，减低了</w:t>
      </w:r>
      <w:r>
        <w:rPr>
          <w:rFonts w:hint="eastAsia" w:ascii="仿宋_GB2312" w:hAnsi="仿宋_GB2312" w:cs="仿宋_GB2312"/>
          <w:sz w:val="32"/>
          <w:szCs w:val="32"/>
          <w:lang w:val="en-US" w:eastAsia="zh-CN"/>
        </w:rPr>
        <w:t>8.4</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降低</w:t>
      </w:r>
      <w:r>
        <w:rPr>
          <w:rFonts w:hint="eastAsia" w:ascii="仿宋_GB2312" w:hAnsi="仿宋_GB2312" w:eastAsia="仿宋_GB2312" w:cs="仿宋_GB2312"/>
          <w:sz w:val="32"/>
          <w:szCs w:val="32"/>
          <w:lang w:val="en-US" w:eastAsia="zh-CN"/>
        </w:rPr>
        <w:t>的主要原因</w:t>
      </w:r>
      <w:r>
        <w:rPr>
          <w:rFonts w:hint="eastAsia" w:ascii="仿宋_GB2312" w:hAnsi="仿宋_GB2312" w:cs="仿宋_GB2312"/>
          <w:sz w:val="32"/>
          <w:szCs w:val="32"/>
          <w:lang w:val="en-US" w:eastAsia="zh-CN"/>
        </w:rPr>
        <w:t>落实过紧日子要求，压缩办公经费</w:t>
      </w:r>
      <w:r>
        <w:rPr>
          <w:rFonts w:hint="eastAsia" w:ascii="仿宋_GB2312" w:hAnsi="仿宋_GB2312" w:eastAsia="仿宋_GB2312" w:cs="仿宋_GB2312"/>
          <w:sz w:val="32"/>
          <w:szCs w:val="32"/>
          <w:lang w:val="en-US" w:eastAsia="zh-CN"/>
        </w:rPr>
        <w:t>。</w:t>
      </w:r>
    </w:p>
    <w:p w14:paraId="0D2D8468">
      <w:pPr>
        <w:keepNext w:val="0"/>
        <w:keepLines w:val="0"/>
        <w:pageBreakBefore w:val="0"/>
        <w:kinsoku/>
        <w:wordWrap/>
        <w:overflowPunct/>
        <w:topLinePunct w:val="0"/>
        <w:autoSpaceDE/>
        <w:autoSpaceDN/>
        <w:bidi w:val="0"/>
        <w:spacing w:line="600" w:lineRule="exact"/>
        <w:ind w:firstLine="643" w:firstLineChars="200"/>
        <w:jc w:val="both"/>
        <w:textAlignment w:val="auto"/>
        <w:rPr>
          <w:rFonts w:hint="eastAsia" w:ascii="楷体" w:hAnsi="楷体" w:eastAsia="楷体" w:cs="楷体"/>
          <w:b/>
          <w:bCs/>
        </w:rPr>
      </w:pPr>
      <w:r>
        <w:rPr>
          <w:rFonts w:hint="eastAsia" w:ascii="楷体" w:hAnsi="楷体" w:eastAsia="楷体" w:cs="楷体"/>
          <w:b/>
          <w:bCs/>
        </w:rPr>
        <w:t>（二）过程情况分析</w:t>
      </w:r>
    </w:p>
    <w:p w14:paraId="3373BC8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仿宋_GB2312"/>
          <w:b/>
          <w:bCs/>
          <w:sz w:val="32"/>
          <w:szCs w:val="32"/>
        </w:rPr>
      </w:pPr>
      <w:r>
        <w:rPr>
          <w:rFonts w:hint="eastAsia" w:ascii="仿宋_GB2312"/>
          <w:b/>
          <w:bCs/>
          <w:sz w:val="32"/>
          <w:szCs w:val="32"/>
          <w:lang w:val="en-US" w:eastAsia="zh-CN"/>
        </w:rPr>
        <w:t>1.</w:t>
      </w:r>
      <w:r>
        <w:rPr>
          <w:rFonts w:ascii="仿宋_GB2312"/>
          <w:b/>
          <w:bCs/>
          <w:sz w:val="32"/>
          <w:szCs w:val="32"/>
        </w:rPr>
        <w:t>预算执行情况分析</w:t>
      </w:r>
    </w:p>
    <w:p w14:paraId="17535190">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年度支出合计</w:t>
      </w:r>
      <w:r>
        <w:rPr>
          <w:rFonts w:hint="eastAsia" w:ascii="仿宋_GB2312" w:hAnsi="仿宋_GB2312" w:cs="仿宋_GB2312"/>
          <w:sz w:val="32"/>
          <w:szCs w:val="32"/>
          <w:lang w:val="en-US" w:eastAsia="zh-CN"/>
        </w:rPr>
        <w:t>190.82</w:t>
      </w:r>
      <w:r>
        <w:rPr>
          <w:rFonts w:hint="eastAsia" w:ascii="仿宋_GB2312" w:hAnsi="仿宋_GB2312" w:eastAsia="仿宋_GB2312" w:cs="仿宋_GB2312"/>
          <w:sz w:val="32"/>
          <w:szCs w:val="32"/>
        </w:rPr>
        <w:t>万元，其中：基本支出</w:t>
      </w:r>
      <w:r>
        <w:rPr>
          <w:rFonts w:hint="eastAsia" w:ascii="仿宋_GB2312" w:hAnsi="仿宋_GB2312" w:cs="仿宋_GB2312"/>
          <w:sz w:val="32"/>
          <w:szCs w:val="32"/>
          <w:lang w:val="en-US" w:eastAsia="zh-CN"/>
        </w:rPr>
        <w:t>131.34</w:t>
      </w:r>
      <w:r>
        <w:rPr>
          <w:rFonts w:hint="eastAsia" w:ascii="仿宋_GB2312" w:hAnsi="仿宋_GB2312" w:eastAsia="仿宋_GB2312" w:cs="仿宋_GB2312"/>
          <w:sz w:val="32"/>
          <w:szCs w:val="32"/>
        </w:rPr>
        <w:t>万元，占</w:t>
      </w:r>
      <w:r>
        <w:rPr>
          <w:rFonts w:hint="eastAsia" w:ascii="仿宋_GB2312" w:hAnsi="仿宋_GB2312" w:cs="仿宋_GB2312"/>
          <w:sz w:val="32"/>
          <w:szCs w:val="32"/>
          <w:lang w:val="en-US" w:eastAsia="zh-CN"/>
        </w:rPr>
        <w:t>103.5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；项目支出</w:t>
      </w:r>
      <w:r>
        <w:rPr>
          <w:rFonts w:hint="eastAsia" w:ascii="仿宋_GB2312" w:hAnsi="仿宋_GB2312" w:cs="仿宋_GB2312"/>
          <w:sz w:val="32"/>
          <w:szCs w:val="32"/>
          <w:lang w:val="en-US" w:eastAsia="zh-CN"/>
        </w:rPr>
        <w:t>59.48</w:t>
      </w:r>
      <w:r>
        <w:rPr>
          <w:rFonts w:hint="eastAsia" w:ascii="仿宋_GB2312" w:hAnsi="仿宋_GB2312" w:eastAsia="仿宋_GB2312" w:cs="仿宋_GB2312"/>
          <w:sz w:val="32"/>
          <w:szCs w:val="32"/>
          <w:lang w:val="en-US" w:eastAsia="zh-CN"/>
        </w:rPr>
        <w:t>万元，占</w:t>
      </w:r>
      <w:r>
        <w:rPr>
          <w:rFonts w:hint="eastAsia" w:ascii="仿宋_GB2312" w:hAnsi="仿宋_GB2312" w:cs="仿宋_GB2312"/>
          <w:sz w:val="32"/>
          <w:szCs w:val="32"/>
          <w:lang w:val="en-US" w:eastAsia="zh-CN"/>
        </w:rPr>
        <w:t>56.52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。本年末财政拨款结转和结余0万元，没有财政统一收回指标额度。</w:t>
      </w:r>
    </w:p>
    <w:p w14:paraId="27497BA2">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ascii="仿宋_GB2312"/>
          <w:b/>
          <w:bCs/>
          <w:sz w:val="32"/>
          <w:szCs w:val="32"/>
        </w:rPr>
      </w:pPr>
      <w:r>
        <w:rPr>
          <w:rFonts w:hint="eastAsia" w:ascii="仿宋_GB2312"/>
          <w:b/>
          <w:bCs/>
          <w:sz w:val="32"/>
          <w:szCs w:val="32"/>
          <w:lang w:val="en-US" w:eastAsia="zh-CN"/>
        </w:rPr>
        <w:t>2.</w:t>
      </w:r>
      <w:r>
        <w:rPr>
          <w:rFonts w:ascii="仿宋_GB2312"/>
          <w:b/>
          <w:bCs/>
          <w:sz w:val="32"/>
          <w:szCs w:val="32"/>
        </w:rPr>
        <w:t>预算管理情况分析</w:t>
      </w:r>
    </w:p>
    <w:p w14:paraId="7FE38630">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color w:val="000000" w:themeColor="text1"/>
          <w:sz w:val="32"/>
          <w:szCs w:val="28"/>
          <w14:textFill>
            <w14:solidFill>
              <w14:schemeClr w14:val="tx1"/>
            </w14:solidFill>
          </w14:textFill>
        </w:rPr>
      </w:pPr>
      <w:r>
        <w:rPr>
          <w:rFonts w:hint="eastAsia" w:ascii="仿宋_GB2312" w:hAnsi="仿宋_GB2312"/>
          <w:color w:val="000000" w:themeColor="text1"/>
          <w:sz w:val="32"/>
          <w:szCs w:val="28"/>
          <w:lang w:eastAsia="zh-CN"/>
          <w14:textFill>
            <w14:solidFill>
              <w14:schemeClr w14:val="tx1"/>
            </w14:solidFill>
          </w14:textFill>
        </w:rPr>
        <w:t>2024</w:t>
      </w:r>
      <w:r>
        <w:rPr>
          <w:rFonts w:hint="eastAsia" w:ascii="仿宋_GB2312" w:hAnsi="仿宋_GB2312"/>
          <w:color w:val="000000" w:themeColor="text1"/>
          <w:sz w:val="32"/>
          <w:szCs w:val="28"/>
          <w14:textFill>
            <w14:solidFill>
              <w14:schemeClr w14:val="tx1"/>
            </w14:solidFill>
          </w14:textFill>
        </w:rPr>
        <w:t>年度一般公共预算财政拨款支出</w:t>
      </w:r>
      <w:r>
        <w:rPr>
          <w:rFonts w:hint="eastAsia" w:ascii="仿宋_GB2312" w:hAnsi="仿宋_GB2312"/>
          <w:color w:val="000000" w:themeColor="text1"/>
          <w:sz w:val="32"/>
          <w:szCs w:val="28"/>
          <w:lang w:val="en-US" w:eastAsia="zh-CN"/>
          <w14:textFill>
            <w14:solidFill>
              <w14:schemeClr w14:val="tx1"/>
            </w14:solidFill>
          </w14:textFill>
        </w:rPr>
        <w:t>189.87</w:t>
      </w:r>
      <w:r>
        <w:rPr>
          <w:rFonts w:hint="eastAsia" w:ascii="仿宋_GB2312" w:hAnsi="仿宋_GB2312"/>
          <w:color w:val="000000" w:themeColor="text1"/>
          <w:sz w:val="32"/>
          <w:szCs w:val="28"/>
          <w14:textFill>
            <w14:solidFill>
              <w14:schemeClr w14:val="tx1"/>
            </w14:solidFill>
          </w14:textFill>
        </w:rPr>
        <w:t>万元，较上年预算执行数</w:t>
      </w:r>
      <w:r>
        <w:rPr>
          <w:rFonts w:hint="eastAsia" w:ascii="仿宋_GB2312" w:hAnsi="仿宋_GB2312"/>
          <w:color w:val="000000" w:themeColor="text1"/>
          <w:sz w:val="32"/>
          <w:szCs w:val="28"/>
          <w:lang w:val="en-US" w:eastAsia="zh-CN"/>
          <w14:textFill>
            <w14:solidFill>
              <w14:schemeClr w14:val="tx1"/>
            </w14:solidFill>
          </w14:textFill>
        </w:rPr>
        <w:t>增加67.71</w:t>
      </w:r>
      <w:r>
        <w:rPr>
          <w:rFonts w:hint="eastAsia" w:ascii="仿宋_GB2312"/>
          <w:color w:val="000000"/>
          <w:sz w:val="32"/>
          <w:szCs w:val="32"/>
        </w:rPr>
        <w:t>万元，</w:t>
      </w:r>
      <w:r>
        <w:rPr>
          <w:rFonts w:hint="eastAsia" w:ascii="仿宋_GB2312"/>
          <w:sz w:val="32"/>
          <w:szCs w:val="32"/>
          <w:lang w:val="en-US" w:eastAsia="zh-CN"/>
        </w:rPr>
        <w:t>增长55.42</w:t>
      </w:r>
      <w:r>
        <w:rPr>
          <w:rFonts w:hint="eastAsia" w:ascii="仿宋_GB2312"/>
          <w:sz w:val="32"/>
          <w:szCs w:val="32"/>
        </w:rPr>
        <w:t>%</w:t>
      </w:r>
      <w:r>
        <w:rPr>
          <w:rFonts w:hint="eastAsia" w:ascii="仿宋_GB2312"/>
          <w:color w:val="000000"/>
          <w:sz w:val="32"/>
          <w:szCs w:val="32"/>
        </w:rPr>
        <w:t>，</w:t>
      </w:r>
      <w:r>
        <w:rPr>
          <w:rFonts w:hint="eastAsia" w:ascii="仿宋_GB2312"/>
          <w:color w:val="000000"/>
          <w:sz w:val="32"/>
          <w:szCs w:val="32"/>
          <w:lang w:val="en-US" w:eastAsia="zh-CN"/>
        </w:rPr>
        <w:t>增加</w:t>
      </w:r>
      <w:r>
        <w:rPr>
          <w:rFonts w:hint="eastAsia" w:ascii="仿宋_GB2312"/>
          <w:sz w:val="32"/>
          <w:szCs w:val="32"/>
        </w:rPr>
        <w:t>的主要原因是</w:t>
      </w:r>
      <w:r>
        <w:rPr>
          <w:rFonts w:hint="eastAsia" w:ascii="仿宋_GB2312"/>
          <w:sz w:val="32"/>
          <w:szCs w:val="32"/>
          <w:lang w:val="en-US" w:eastAsia="zh-CN"/>
        </w:rPr>
        <w:t>本年项目支出多</w:t>
      </w:r>
      <w:r>
        <w:rPr>
          <w:rFonts w:hint="eastAsia" w:ascii="仿宋_GB2312"/>
          <w:color w:val="000000"/>
          <w:sz w:val="32"/>
          <w:szCs w:val="32"/>
        </w:rPr>
        <w:t>。</w:t>
      </w:r>
      <w:r>
        <w:rPr>
          <w:rFonts w:hint="eastAsia" w:ascii="仿宋_GB2312" w:hAnsi="仿宋_GB2312"/>
          <w:color w:val="000000" w:themeColor="text1"/>
          <w:sz w:val="32"/>
          <w:szCs w:val="28"/>
          <w14:textFill>
            <w14:solidFill>
              <w14:schemeClr w14:val="tx1"/>
            </w14:solidFill>
          </w14:textFill>
        </w:rPr>
        <w:t>主要用于以下几个方面：</w:t>
      </w:r>
    </w:p>
    <w:p w14:paraId="3D584DF4">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olor w:val="000000" w:themeColor="text1"/>
          <w:sz w:val="32"/>
          <w:szCs w:val="28"/>
          <w:lang w:eastAsia="zh-CN"/>
          <w14:textFill>
            <w14:solidFill>
              <w14:schemeClr w14:val="tx1"/>
            </w14:solidFill>
          </w14:textFill>
        </w:rPr>
      </w:pPr>
      <w:r>
        <w:rPr>
          <w:rFonts w:hint="eastAsia" w:ascii="仿宋_GB2312" w:hAnsi="仿宋_GB2312"/>
          <w:color w:val="000000" w:themeColor="text1"/>
          <w:sz w:val="32"/>
          <w:szCs w:val="28"/>
          <w14:textFill>
            <w14:solidFill>
              <w14:schemeClr w14:val="tx1"/>
            </w14:solidFill>
          </w14:textFill>
        </w:rPr>
        <w:t>一是一般公共服务支出预算数为</w:t>
      </w:r>
      <w:r>
        <w:rPr>
          <w:rFonts w:hint="eastAsia" w:ascii="仿宋_GB2312" w:hAnsi="仿宋_GB2312"/>
          <w:color w:val="000000" w:themeColor="text1"/>
          <w:sz w:val="32"/>
          <w:szCs w:val="28"/>
          <w:lang w:val="en-US" w:eastAsia="zh-CN"/>
          <w14:textFill>
            <w14:solidFill>
              <w14:schemeClr w14:val="tx1"/>
            </w14:solidFill>
          </w14:textFill>
        </w:rPr>
        <w:t>160.08</w:t>
      </w:r>
      <w:r>
        <w:rPr>
          <w:rFonts w:hint="eastAsia" w:ascii="仿宋_GB2312" w:hAnsi="仿宋_GB2312"/>
          <w:color w:val="000000" w:themeColor="text1"/>
          <w:sz w:val="32"/>
          <w:szCs w:val="28"/>
          <w14:textFill>
            <w14:solidFill>
              <w14:schemeClr w14:val="tx1"/>
            </w14:solidFill>
          </w14:textFill>
        </w:rPr>
        <w:t>万元，预算支出执行数为</w:t>
      </w:r>
      <w:r>
        <w:rPr>
          <w:rFonts w:hint="eastAsia" w:ascii="仿宋_GB2312" w:hAnsi="仿宋_GB2312"/>
          <w:color w:val="000000" w:themeColor="text1"/>
          <w:sz w:val="32"/>
          <w:szCs w:val="28"/>
          <w:lang w:val="en-US" w:eastAsia="zh-CN"/>
          <w14:textFill>
            <w14:solidFill>
              <w14:schemeClr w14:val="tx1"/>
            </w14:solidFill>
          </w14:textFill>
        </w:rPr>
        <w:t>153.12万</w:t>
      </w:r>
      <w:r>
        <w:rPr>
          <w:rFonts w:hint="eastAsia" w:ascii="仿宋_GB2312" w:hAnsi="仿宋_GB2312"/>
          <w:color w:val="000000" w:themeColor="text1"/>
          <w:sz w:val="32"/>
          <w:szCs w:val="28"/>
          <w14:textFill>
            <w14:solidFill>
              <w14:schemeClr w14:val="tx1"/>
            </w14:solidFill>
          </w14:textFill>
        </w:rPr>
        <w:t>元，</w:t>
      </w:r>
      <w:r>
        <w:rPr>
          <w:rFonts w:hint="eastAsia" w:ascii="仿宋_GB2312" w:hAnsi="仿宋_GB2312"/>
          <w:color w:val="000000" w:themeColor="text1"/>
          <w:sz w:val="32"/>
          <w:szCs w:val="28"/>
          <w:lang w:val="en-US" w:eastAsia="zh-CN"/>
          <w14:textFill>
            <w14:solidFill>
              <w14:schemeClr w14:val="tx1"/>
            </w14:solidFill>
          </w14:textFill>
        </w:rPr>
        <w:t>完成全年预算的95.65%；</w:t>
      </w:r>
    </w:p>
    <w:p w14:paraId="0264DBF5">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olor w:val="000000" w:themeColor="text1"/>
          <w:sz w:val="32"/>
          <w:szCs w:val="28"/>
          <w:lang w:eastAsia="zh-CN"/>
          <w14:textFill>
            <w14:solidFill>
              <w14:schemeClr w14:val="tx1"/>
            </w14:solidFill>
          </w14:textFill>
        </w:rPr>
      </w:pPr>
      <w:r>
        <w:rPr>
          <w:rFonts w:hint="eastAsia" w:ascii="仿宋_GB2312" w:hAnsi="仿宋_GB2312"/>
          <w:color w:val="000000" w:themeColor="text1"/>
          <w:sz w:val="32"/>
          <w:szCs w:val="28"/>
          <w14:textFill>
            <w14:solidFill>
              <w14:schemeClr w14:val="tx1"/>
            </w14:solidFill>
          </w14:textFill>
        </w:rPr>
        <w:t>二是社会保障和就业支出年初预算数为</w:t>
      </w:r>
      <w:r>
        <w:rPr>
          <w:rFonts w:hint="eastAsia" w:ascii="仿宋_GB2312" w:hAnsi="仿宋_GB2312"/>
          <w:color w:val="000000" w:themeColor="text1"/>
          <w:sz w:val="32"/>
          <w:szCs w:val="28"/>
          <w:lang w:val="en-US" w:eastAsia="zh-CN"/>
          <w14:textFill>
            <w14:solidFill>
              <w14:schemeClr w14:val="tx1"/>
            </w14:solidFill>
          </w14:textFill>
        </w:rPr>
        <w:t>12.01</w:t>
      </w:r>
      <w:r>
        <w:rPr>
          <w:rFonts w:hint="eastAsia" w:ascii="仿宋_GB2312" w:hAnsi="仿宋_GB2312"/>
          <w:color w:val="000000" w:themeColor="text1"/>
          <w:sz w:val="32"/>
          <w:szCs w:val="28"/>
          <w14:textFill>
            <w14:solidFill>
              <w14:schemeClr w14:val="tx1"/>
            </w14:solidFill>
          </w14:textFill>
        </w:rPr>
        <w:t>万元，支出执行数为</w:t>
      </w:r>
      <w:r>
        <w:rPr>
          <w:rFonts w:hint="eastAsia" w:ascii="仿宋_GB2312" w:hAnsi="仿宋_GB2312"/>
          <w:color w:val="000000" w:themeColor="text1"/>
          <w:sz w:val="32"/>
          <w:szCs w:val="28"/>
          <w:lang w:val="en-US" w:eastAsia="zh-CN"/>
          <w14:textFill>
            <w14:solidFill>
              <w14:schemeClr w14:val="tx1"/>
            </w14:solidFill>
          </w14:textFill>
        </w:rPr>
        <w:t>19.37</w:t>
      </w:r>
      <w:r>
        <w:rPr>
          <w:rFonts w:hint="eastAsia" w:ascii="仿宋_GB2312" w:hAnsi="仿宋_GB2312"/>
          <w:color w:val="000000" w:themeColor="text1"/>
          <w:sz w:val="32"/>
          <w:szCs w:val="28"/>
          <w14:textFill>
            <w14:solidFill>
              <w14:schemeClr w14:val="tx1"/>
            </w14:solidFill>
          </w14:textFill>
        </w:rPr>
        <w:t>万元，完成年初预算的</w:t>
      </w:r>
      <w:r>
        <w:rPr>
          <w:rFonts w:hint="eastAsia" w:ascii="仿宋_GB2312" w:hAnsi="仿宋_GB2312"/>
          <w:color w:val="000000" w:themeColor="text1"/>
          <w:sz w:val="32"/>
          <w:szCs w:val="28"/>
          <w:lang w:val="en-US" w:eastAsia="zh-CN"/>
          <w14:textFill>
            <w14:solidFill>
              <w14:schemeClr w14:val="tx1"/>
            </w14:solidFill>
          </w14:textFill>
        </w:rPr>
        <w:t>161.28</w:t>
      </w:r>
      <w:r>
        <w:rPr>
          <w:rFonts w:hint="eastAsia" w:ascii="仿宋_GB2312" w:hAnsi="仿宋_GB2312"/>
          <w:color w:val="000000" w:themeColor="text1"/>
          <w:sz w:val="32"/>
          <w:szCs w:val="28"/>
          <w14:textFill>
            <w14:solidFill>
              <w14:schemeClr w14:val="tx1"/>
            </w14:solidFill>
          </w14:textFill>
        </w:rPr>
        <w:t>%</w:t>
      </w:r>
      <w:r>
        <w:rPr>
          <w:rFonts w:hint="eastAsia" w:ascii="仿宋_GB2312" w:hAnsi="仿宋_GB2312"/>
          <w:color w:val="000000" w:themeColor="text1"/>
          <w:sz w:val="32"/>
          <w:szCs w:val="28"/>
          <w:lang w:val="en-US" w:eastAsia="zh-CN"/>
          <w14:textFill>
            <w14:solidFill>
              <w14:schemeClr w14:val="tx1"/>
            </w14:solidFill>
          </w14:textFill>
        </w:rPr>
        <w:t>；</w:t>
      </w:r>
    </w:p>
    <w:p w14:paraId="5417A4D3">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olor w:val="000000" w:themeColor="text1"/>
          <w:sz w:val="32"/>
          <w:szCs w:val="28"/>
          <w:lang w:eastAsia="zh-CN"/>
          <w14:textFill>
            <w14:solidFill>
              <w14:schemeClr w14:val="tx1"/>
            </w14:solidFill>
          </w14:textFill>
        </w:rPr>
      </w:pPr>
      <w:r>
        <w:rPr>
          <w:rFonts w:hint="eastAsia" w:ascii="仿宋_GB2312" w:hAnsi="仿宋_GB2312"/>
          <w:color w:val="000000" w:themeColor="text1"/>
          <w:sz w:val="32"/>
          <w:szCs w:val="28"/>
          <w14:textFill>
            <w14:solidFill>
              <w14:schemeClr w14:val="tx1"/>
            </w14:solidFill>
          </w14:textFill>
        </w:rPr>
        <w:t>三是卫生健康支出年初预算数为</w:t>
      </w:r>
      <w:r>
        <w:rPr>
          <w:rFonts w:hint="eastAsia" w:ascii="仿宋_GB2312" w:hAnsi="仿宋_GB2312"/>
          <w:color w:val="000000" w:themeColor="text1"/>
          <w:sz w:val="32"/>
          <w:szCs w:val="28"/>
          <w:lang w:val="en-US" w:eastAsia="zh-CN"/>
          <w14:textFill>
            <w14:solidFill>
              <w14:schemeClr w14:val="tx1"/>
            </w14:solidFill>
          </w14:textFill>
        </w:rPr>
        <w:t>6.73</w:t>
      </w:r>
      <w:r>
        <w:rPr>
          <w:rFonts w:hint="eastAsia" w:ascii="仿宋_GB2312" w:hAnsi="仿宋_GB2312"/>
          <w:color w:val="000000" w:themeColor="text1"/>
          <w:sz w:val="32"/>
          <w:szCs w:val="28"/>
          <w14:textFill>
            <w14:solidFill>
              <w14:schemeClr w14:val="tx1"/>
            </w14:solidFill>
          </w14:textFill>
        </w:rPr>
        <w:t>万元，支出执行数为</w:t>
      </w:r>
      <w:r>
        <w:rPr>
          <w:rFonts w:hint="eastAsia" w:ascii="仿宋_GB2312" w:hAnsi="仿宋_GB2312"/>
          <w:color w:val="000000" w:themeColor="text1"/>
          <w:sz w:val="32"/>
          <w:szCs w:val="28"/>
          <w:lang w:val="en-US" w:eastAsia="zh-CN"/>
          <w14:textFill>
            <w14:solidFill>
              <w14:schemeClr w14:val="tx1"/>
            </w14:solidFill>
          </w14:textFill>
        </w:rPr>
        <w:t>5.85</w:t>
      </w:r>
      <w:r>
        <w:rPr>
          <w:rFonts w:hint="eastAsia" w:ascii="仿宋_GB2312" w:hAnsi="仿宋_GB2312"/>
          <w:color w:val="000000" w:themeColor="text1"/>
          <w:sz w:val="32"/>
          <w:szCs w:val="28"/>
          <w14:textFill>
            <w14:solidFill>
              <w14:schemeClr w14:val="tx1"/>
            </w14:solidFill>
          </w14:textFill>
        </w:rPr>
        <w:t>万元，完成年初预算的</w:t>
      </w:r>
      <w:r>
        <w:rPr>
          <w:rFonts w:hint="eastAsia" w:ascii="仿宋_GB2312" w:hAnsi="仿宋_GB2312"/>
          <w:color w:val="000000" w:themeColor="text1"/>
          <w:sz w:val="32"/>
          <w:szCs w:val="28"/>
          <w:lang w:val="en-US" w:eastAsia="zh-CN"/>
          <w14:textFill>
            <w14:solidFill>
              <w14:schemeClr w14:val="tx1"/>
            </w14:solidFill>
          </w14:textFill>
        </w:rPr>
        <w:t>86.92</w:t>
      </w:r>
      <w:r>
        <w:rPr>
          <w:rFonts w:hint="eastAsia" w:ascii="仿宋_GB2312" w:hAnsi="仿宋_GB2312"/>
          <w:color w:val="000000" w:themeColor="text1"/>
          <w:sz w:val="32"/>
          <w:szCs w:val="28"/>
          <w14:textFill>
            <w14:solidFill>
              <w14:schemeClr w14:val="tx1"/>
            </w14:solidFill>
          </w14:textFill>
        </w:rPr>
        <w:t>%</w:t>
      </w:r>
      <w:r>
        <w:rPr>
          <w:rFonts w:hint="eastAsia" w:ascii="仿宋_GB2312" w:hAnsi="仿宋_GB2312"/>
          <w:color w:val="000000" w:themeColor="text1"/>
          <w:sz w:val="32"/>
          <w:szCs w:val="28"/>
          <w:lang w:val="en-US" w:eastAsia="zh-CN"/>
          <w14:textFill>
            <w14:solidFill>
              <w14:schemeClr w14:val="tx1"/>
            </w14:solidFill>
          </w14:textFill>
        </w:rPr>
        <w:t>；</w:t>
      </w:r>
    </w:p>
    <w:p w14:paraId="4D88949E">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ascii="仿宋_GB2312" w:hAnsi="仿宋_GB2312"/>
          <w:color w:val="000000" w:themeColor="text1"/>
          <w:sz w:val="32"/>
          <w:szCs w:val="28"/>
          <w14:textFill>
            <w14:solidFill>
              <w14:schemeClr w14:val="tx1"/>
            </w14:solidFill>
          </w14:textFill>
        </w:rPr>
      </w:pPr>
      <w:r>
        <w:rPr>
          <w:rFonts w:hint="eastAsia" w:ascii="仿宋_GB2312" w:hAnsi="仿宋_GB2312"/>
          <w:color w:val="000000" w:themeColor="text1"/>
          <w:sz w:val="32"/>
          <w:szCs w:val="28"/>
          <w14:textFill>
            <w14:solidFill>
              <w14:schemeClr w14:val="tx1"/>
            </w14:solidFill>
          </w14:textFill>
        </w:rPr>
        <w:t>四是住房保障支出年初预算数为</w:t>
      </w:r>
      <w:r>
        <w:rPr>
          <w:rFonts w:hint="eastAsia" w:ascii="仿宋_GB2312" w:hAnsi="仿宋_GB2312"/>
          <w:color w:val="000000" w:themeColor="text1"/>
          <w:sz w:val="32"/>
          <w:szCs w:val="28"/>
          <w:lang w:val="en-US" w:eastAsia="zh-CN"/>
          <w14:textFill>
            <w14:solidFill>
              <w14:schemeClr w14:val="tx1"/>
            </w14:solidFill>
          </w14:textFill>
        </w:rPr>
        <w:t>9.28</w:t>
      </w:r>
      <w:r>
        <w:rPr>
          <w:rFonts w:hint="eastAsia" w:ascii="仿宋_GB2312" w:hAnsi="仿宋_GB2312"/>
          <w:color w:val="000000" w:themeColor="text1"/>
          <w:sz w:val="32"/>
          <w:szCs w:val="28"/>
          <w14:textFill>
            <w14:solidFill>
              <w14:schemeClr w14:val="tx1"/>
            </w14:solidFill>
          </w14:textFill>
        </w:rPr>
        <w:t>万元，支出执行数为</w:t>
      </w:r>
      <w:r>
        <w:rPr>
          <w:rFonts w:hint="eastAsia" w:ascii="仿宋_GB2312" w:hAnsi="仿宋_GB2312"/>
          <w:color w:val="000000" w:themeColor="text1"/>
          <w:sz w:val="32"/>
          <w:szCs w:val="28"/>
          <w:lang w:val="en-US" w:eastAsia="zh-CN"/>
          <w14:textFill>
            <w14:solidFill>
              <w14:schemeClr w14:val="tx1"/>
            </w14:solidFill>
          </w14:textFill>
        </w:rPr>
        <w:t>11.46</w:t>
      </w:r>
      <w:r>
        <w:rPr>
          <w:rFonts w:hint="eastAsia" w:ascii="仿宋_GB2312" w:hAnsi="仿宋_GB2312"/>
          <w:color w:val="000000" w:themeColor="text1"/>
          <w:sz w:val="32"/>
          <w:szCs w:val="28"/>
          <w14:textFill>
            <w14:solidFill>
              <w14:schemeClr w14:val="tx1"/>
            </w14:solidFill>
          </w14:textFill>
        </w:rPr>
        <w:t>万元，完成年初预算的</w:t>
      </w:r>
      <w:r>
        <w:rPr>
          <w:rFonts w:hint="eastAsia" w:ascii="仿宋_GB2312" w:hAnsi="仿宋_GB2312"/>
          <w:color w:val="000000" w:themeColor="text1"/>
          <w:sz w:val="32"/>
          <w:szCs w:val="28"/>
          <w:lang w:val="en-US" w:eastAsia="zh-CN"/>
          <w14:textFill>
            <w14:solidFill>
              <w14:schemeClr w14:val="tx1"/>
            </w14:solidFill>
          </w14:textFill>
        </w:rPr>
        <w:t>123.50</w:t>
      </w:r>
      <w:r>
        <w:rPr>
          <w:rFonts w:hint="eastAsia" w:ascii="仿宋_GB2312" w:hAnsi="仿宋_GB2312"/>
          <w:color w:val="000000" w:themeColor="text1"/>
          <w:sz w:val="32"/>
          <w:szCs w:val="28"/>
          <w14:textFill>
            <w14:solidFill>
              <w14:schemeClr w14:val="tx1"/>
            </w14:solidFill>
          </w14:textFill>
        </w:rPr>
        <w:t>%。</w:t>
      </w:r>
    </w:p>
    <w:p w14:paraId="47B9B155">
      <w:pPr>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ascii="仿宋_GB2312"/>
          <w:b/>
          <w:bCs/>
          <w:sz w:val="32"/>
          <w:szCs w:val="32"/>
        </w:rPr>
      </w:pPr>
      <w:r>
        <w:rPr>
          <w:rFonts w:hint="eastAsia" w:ascii="仿宋_GB2312"/>
          <w:b/>
          <w:bCs/>
          <w:sz w:val="32"/>
          <w:szCs w:val="32"/>
          <w:lang w:val="en-US" w:eastAsia="zh-CN"/>
        </w:rPr>
        <w:t>3.</w:t>
      </w:r>
      <w:r>
        <w:rPr>
          <w:rFonts w:hint="eastAsia" w:ascii="仿宋_GB2312"/>
          <w:b/>
          <w:bCs/>
          <w:sz w:val="32"/>
          <w:szCs w:val="32"/>
        </w:rPr>
        <w:t>资产管理情况分析</w:t>
      </w:r>
    </w:p>
    <w:p w14:paraId="6D37A1B8">
      <w:pPr>
        <w:pStyle w:val="3"/>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000000" w:themeColor="text1"/>
          <w:sz w:val="32"/>
          <w:szCs w:val="28"/>
          <w14:textFill>
            <w14:solidFill>
              <w14:schemeClr w14:val="tx1"/>
            </w14:solidFill>
          </w14:textFill>
        </w:rPr>
        <w:t>至</w:t>
      </w:r>
      <w:r>
        <w:rPr>
          <w:rFonts w:hint="eastAsia" w:ascii="仿宋_GB2312" w:hAnsi="仿宋_GB2312" w:eastAsia="仿宋_GB2312" w:cs="仿宋_GB2312"/>
          <w:color w:val="000000" w:themeColor="text1"/>
          <w:sz w:val="32"/>
          <w:szCs w:val="28"/>
          <w:lang w:eastAsia="zh-CN"/>
          <w14:textFill>
            <w14:solidFill>
              <w14:schemeClr w14:val="tx1"/>
            </w14:solidFill>
          </w14:textFill>
        </w:rPr>
        <w:t>2024</w:t>
      </w:r>
      <w:r>
        <w:rPr>
          <w:rFonts w:hint="eastAsia" w:ascii="仿宋_GB2312" w:hAnsi="仿宋_GB2312" w:eastAsia="仿宋_GB2312" w:cs="仿宋_GB2312"/>
          <w:color w:val="000000" w:themeColor="text1"/>
          <w:sz w:val="32"/>
          <w:szCs w:val="28"/>
          <w14:textFill>
            <w14:solidFill>
              <w14:schemeClr w14:val="tx1"/>
            </w14:solidFill>
          </w14:textFill>
        </w:rPr>
        <w:t>年12月31日，我单位账面</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总</w:t>
      </w:r>
      <w:r>
        <w:rPr>
          <w:rFonts w:hint="eastAsia" w:ascii="仿宋_GB2312" w:hAnsi="仿宋_GB2312" w:eastAsia="仿宋_GB2312" w:cs="仿宋_GB2312"/>
          <w:color w:val="000000" w:themeColor="text1"/>
          <w:sz w:val="32"/>
          <w:szCs w:val="28"/>
          <w14:textFill>
            <w14:solidFill>
              <w14:schemeClr w14:val="tx1"/>
            </w14:solidFill>
          </w14:textFill>
        </w:rPr>
        <w:t>资产</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为14.09</w:t>
      </w:r>
      <w:r>
        <w:rPr>
          <w:rFonts w:hint="eastAsia" w:ascii="仿宋_GB2312" w:hAnsi="仿宋_GB2312" w:eastAsia="仿宋_GB2312" w:cs="仿宋_GB2312"/>
          <w:color w:val="000000" w:themeColor="text1"/>
          <w:sz w:val="32"/>
          <w:szCs w:val="28"/>
          <w14:textFill>
            <w14:solidFill>
              <w14:schemeClr w14:val="tx1"/>
            </w14:solidFill>
          </w14:textFill>
        </w:rPr>
        <w:t>万元，其中，固定资产</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净</w:t>
      </w:r>
      <w:r>
        <w:rPr>
          <w:rFonts w:hint="eastAsia" w:ascii="仿宋_GB2312" w:hAnsi="仿宋_GB2312" w:eastAsia="仿宋_GB2312" w:cs="仿宋_GB2312"/>
          <w:color w:val="000000" w:themeColor="text1"/>
          <w:sz w:val="32"/>
          <w:szCs w:val="28"/>
          <w:lang w:eastAsia="zh-CN"/>
          <w14:textFill>
            <w14:solidFill>
              <w14:schemeClr w14:val="tx1"/>
            </w14:solidFill>
          </w14:textFill>
        </w:rPr>
        <w:t>值</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7.54</w:t>
      </w:r>
      <w:r>
        <w:rPr>
          <w:rFonts w:hint="eastAsia" w:ascii="仿宋_GB2312" w:hAnsi="仿宋_GB2312" w:eastAsia="仿宋_GB2312" w:cs="仿宋_GB2312"/>
          <w:color w:val="000000" w:themeColor="text1"/>
          <w:sz w:val="32"/>
          <w:szCs w:val="28"/>
          <w14:textFill>
            <w14:solidFill>
              <w14:schemeClr w14:val="tx1"/>
            </w14:solidFill>
          </w14:textFill>
        </w:rPr>
        <w:t>万元，</w:t>
      </w:r>
      <w:r>
        <w:rPr>
          <w:rFonts w:hint="eastAsia" w:ascii="仿宋_GB2312" w:hAnsi="仿宋_GB2312" w:eastAsia="仿宋_GB2312" w:cs="仿宋_GB2312"/>
          <w:color w:val="000000" w:themeColor="text1"/>
          <w:sz w:val="32"/>
          <w:szCs w:val="28"/>
          <w:lang w:eastAsia="zh-CN"/>
          <w14:textFill>
            <w14:solidFill>
              <w14:schemeClr w14:val="tx1"/>
            </w14:solidFill>
          </w14:textFill>
        </w:rPr>
        <w:t>无形资产原值</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0万元，</w:t>
      </w:r>
      <w:r>
        <w:rPr>
          <w:rFonts w:hint="eastAsia" w:ascii="仿宋_GB2312" w:hAnsi="仿宋_GB2312" w:eastAsia="仿宋_GB2312" w:cs="仿宋_GB2312"/>
          <w:color w:val="000000" w:themeColor="text1"/>
          <w:sz w:val="32"/>
          <w:szCs w:val="28"/>
          <w14:textFill>
            <w14:solidFill>
              <w14:schemeClr w14:val="tx1"/>
            </w14:solidFill>
          </w14:textFill>
        </w:rPr>
        <w:t>流动资产</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6.54</w:t>
      </w:r>
      <w:r>
        <w:rPr>
          <w:rFonts w:hint="eastAsia" w:ascii="仿宋_GB2312" w:hAnsi="仿宋_GB2312" w:eastAsia="仿宋_GB2312" w:cs="仿宋_GB2312"/>
          <w:color w:val="000000" w:themeColor="text1"/>
          <w:sz w:val="32"/>
          <w:szCs w:val="28"/>
          <w14:textFill>
            <w14:solidFill>
              <w14:schemeClr w14:val="tx1"/>
            </w14:solidFill>
          </w14:textFill>
        </w:rPr>
        <w:t>万元。</w:t>
      </w:r>
      <w:r>
        <w:rPr>
          <w:rFonts w:hint="eastAsia" w:ascii="仿宋_GB2312" w:hAnsi="仿宋_GB2312" w:cs="仿宋_GB2312"/>
          <w:color w:val="000000" w:themeColor="text1"/>
          <w:sz w:val="32"/>
          <w:szCs w:val="28"/>
          <w:lang w:val="en-US" w:eastAsia="zh-CN"/>
          <w14:textFill>
            <w14:solidFill>
              <w14:schemeClr w14:val="tx1"/>
            </w14:solidFill>
          </w14:textFill>
        </w:rPr>
        <w:t>固定资产成新率24.54%。</w:t>
      </w:r>
    </w:p>
    <w:p w14:paraId="202AEBC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（三）产出情况分析</w:t>
      </w:r>
    </w:p>
    <w:p w14:paraId="6EC769D6">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1.数量指标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本年度各项目标任务全面完成，涉及人员、办公、采购等项目经费支付</w:t>
      </w:r>
      <w:r>
        <w:rPr>
          <w:rFonts w:hint="eastAsia" w:ascii="仿宋_GB2312" w:hAnsi="仿宋_GB2312" w:eastAsia="仿宋_GB2312" w:cs="仿宋_GB2312"/>
          <w:sz w:val="32"/>
          <w:szCs w:val="32"/>
        </w:rPr>
        <w:t>率为100%</w:t>
      </w:r>
      <w:r>
        <w:rPr>
          <w:rFonts w:hint="eastAsia" w:ascii="仿宋_GB2312" w:hAnsi="仿宋_GB2312" w:cs="仿宋_GB2312"/>
          <w:sz w:val="32"/>
          <w:szCs w:val="32"/>
          <w:lang w:val="en-US" w:eastAsia="zh-CN"/>
        </w:rPr>
        <w:t>；</w:t>
      </w:r>
    </w:p>
    <w:p w14:paraId="16FFAA29">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2.质量指标：年初预算全部</w:t>
      </w:r>
      <w:r>
        <w:rPr>
          <w:rFonts w:hint="eastAsia" w:ascii="仿宋_GB2312" w:hAnsi="仿宋_GB2312" w:eastAsia="仿宋_GB2312" w:cs="仿宋_GB2312"/>
          <w:sz w:val="32"/>
          <w:szCs w:val="32"/>
          <w:lang w:val="en-US" w:eastAsia="zh-CN"/>
        </w:rPr>
        <w:t>达到了预期效果，</w:t>
      </w:r>
      <w:r>
        <w:rPr>
          <w:rFonts w:hint="eastAsia" w:ascii="仿宋_GB2312" w:hAnsi="仿宋_GB2312" w:eastAsia="仿宋_GB2312" w:cs="仿宋_GB2312"/>
          <w:sz w:val="32"/>
          <w:szCs w:val="32"/>
        </w:rPr>
        <w:t>实现了预期</w:t>
      </w:r>
      <w:r>
        <w:rPr>
          <w:rFonts w:hint="eastAsia" w:ascii="仿宋_GB2312" w:hAnsi="仿宋_GB2312" w:eastAsia="仿宋_GB2312" w:cs="仿宋_GB2312"/>
          <w:sz w:val="32"/>
          <w:szCs w:val="32"/>
          <w:lang w:val="en-US" w:eastAsia="zh-CN"/>
        </w:rPr>
        <w:t>目标</w:t>
      </w:r>
      <w:r>
        <w:rPr>
          <w:rFonts w:hint="eastAsia" w:ascii="仿宋_GB2312" w:hAnsi="仿宋_GB2312" w:eastAsia="仿宋_GB2312" w:cs="仿宋_GB2312"/>
          <w:sz w:val="32"/>
          <w:szCs w:val="32"/>
        </w:rPr>
        <w:t>，没有超预算和结余的情况</w:t>
      </w:r>
      <w:r>
        <w:rPr>
          <w:rFonts w:hint="eastAsia" w:ascii="仿宋_GB2312" w:hAnsi="仿宋_GB2312" w:cs="仿宋_GB2312"/>
          <w:sz w:val="32"/>
          <w:szCs w:val="32"/>
          <w:lang w:val="en-US" w:eastAsia="zh-CN"/>
        </w:rPr>
        <w:t>；</w:t>
      </w:r>
    </w:p>
    <w:p w14:paraId="2214F8A4">
      <w:pPr>
        <w:pStyle w:val="3"/>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3.效益目标：</w:t>
      </w:r>
      <w:r>
        <w:rPr>
          <w:rFonts w:hint="eastAsia" w:ascii="仿宋_GB2312" w:hAnsi="仿宋_GB2312" w:cs="仿宋_GB2312"/>
          <w:sz w:val="32"/>
          <w:szCs w:val="32"/>
          <w:lang w:val="en-US" w:eastAsia="zh-CN"/>
        </w:rPr>
        <w:t>慰问老干部及遗属92人，</w:t>
      </w:r>
      <w:r>
        <w:rPr>
          <w:rFonts w:hint="eastAsia" w:ascii="仿宋_GB2312" w:hAnsi="仿宋_GB2312" w:eastAsia="仿宋_GB2312" w:cs="仿宋_GB2312"/>
          <w:sz w:val="32"/>
          <w:szCs w:val="32"/>
          <w:lang w:val="en-US" w:eastAsia="zh-CN"/>
        </w:rPr>
        <w:t>全年服务老干部活动人次3200多人</w:t>
      </w:r>
      <w:r>
        <w:rPr>
          <w:rFonts w:hint="eastAsia" w:ascii="仿宋_GB2312" w:hAnsi="仿宋_GB2312" w:cs="仿宋_GB2312"/>
          <w:sz w:val="32"/>
          <w:szCs w:val="32"/>
          <w:lang w:val="en-US" w:eastAsia="zh-CN"/>
        </w:rPr>
        <w:t>次</w:t>
      </w:r>
      <w:r>
        <w:rPr>
          <w:rFonts w:hint="eastAsia" w:ascii="仿宋_GB2312" w:hAnsi="仿宋_GB2312" w:eastAsia="仿宋_GB2312" w:cs="仿宋_GB2312"/>
          <w:sz w:val="32"/>
          <w:szCs w:val="32"/>
          <w:lang w:val="en-US" w:eastAsia="zh-CN"/>
        </w:rPr>
        <w:t>，老年</w:t>
      </w:r>
      <w:r>
        <w:rPr>
          <w:rFonts w:hint="eastAsia" w:ascii="仿宋_GB2312" w:hAnsi="仿宋_GB2312" w:cs="仿宋_GB2312"/>
          <w:sz w:val="32"/>
          <w:szCs w:val="32"/>
          <w:lang w:val="en-US" w:eastAsia="zh-CN"/>
        </w:rPr>
        <w:t>大学</w:t>
      </w:r>
      <w:r>
        <w:rPr>
          <w:rFonts w:hint="eastAsia" w:ascii="仿宋_GB2312" w:hAnsi="仿宋_GB2312" w:eastAsia="仿宋_GB2312" w:cs="仿宋_GB2312"/>
          <w:sz w:val="32"/>
          <w:szCs w:val="32"/>
          <w:lang w:val="en-US" w:eastAsia="zh-CN"/>
        </w:rPr>
        <w:t>授课学习人次5800多人</w:t>
      </w:r>
      <w:r>
        <w:rPr>
          <w:rFonts w:hint="eastAsia" w:ascii="仿宋_GB2312" w:hAnsi="仿宋_GB2312" w:cs="仿宋_GB2312"/>
          <w:sz w:val="32"/>
          <w:szCs w:val="32"/>
          <w:lang w:val="en-US" w:eastAsia="zh-CN"/>
        </w:rPr>
        <w:t>次，</w:t>
      </w:r>
      <w:r>
        <w:rPr>
          <w:rFonts w:hint="eastAsia" w:ascii="仿宋_GB2312" w:hAnsi="仿宋_GB2312" w:eastAsia="仿宋_GB2312" w:cs="仿宋_GB2312"/>
          <w:sz w:val="32"/>
          <w:szCs w:val="32"/>
          <w:lang w:val="en-US" w:eastAsia="zh-CN"/>
        </w:rPr>
        <w:t>惠民演出6场次，观看人数3000</w:t>
      </w:r>
      <w:r>
        <w:rPr>
          <w:rFonts w:hint="eastAsia" w:ascii="仿宋_GB2312" w:hAnsi="仿宋_GB2312" w:cs="仿宋_GB2312"/>
          <w:sz w:val="32"/>
          <w:szCs w:val="32"/>
          <w:lang w:val="en-US" w:eastAsia="zh-CN"/>
        </w:rPr>
        <w:t>人次</w:t>
      </w:r>
      <w:r>
        <w:rPr>
          <w:rFonts w:hint="eastAsia" w:ascii="仿宋_GB2312" w:hAnsi="仿宋_GB2312" w:eastAsia="仿宋_GB2312" w:cs="仿宋_GB2312"/>
          <w:sz w:val="32"/>
          <w:szCs w:val="32"/>
          <w:lang w:val="en-US" w:eastAsia="zh-CN"/>
        </w:rPr>
        <w:t>左右</w:t>
      </w:r>
      <w:r>
        <w:rPr>
          <w:rFonts w:hint="eastAsia" w:ascii="仿宋_GB2312" w:hAnsi="仿宋_GB2312" w:cs="仿宋_GB2312"/>
          <w:sz w:val="32"/>
          <w:szCs w:val="32"/>
          <w:lang w:val="en-US" w:eastAsia="zh-CN"/>
        </w:rPr>
        <w:t>。</w:t>
      </w:r>
    </w:p>
    <w:p w14:paraId="46D8A24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（四）效益情况分析</w:t>
      </w:r>
    </w:p>
    <w:p w14:paraId="6AB52287">
      <w:pPr>
        <w:pStyle w:val="22"/>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hAnsi="仿宋_GB2312" w:cs="仿宋_GB2312"/>
          <w:color w:val="000000" w:themeColor="text1"/>
          <w:sz w:val="32"/>
          <w:lang w:val="en-US"/>
          <w14:textFill>
            <w14:solidFill>
              <w14:schemeClr w14:val="tx1"/>
            </w14:solidFill>
          </w14:textFill>
        </w:rPr>
      </w:pPr>
      <w:r>
        <w:rPr>
          <w:rFonts w:hint="eastAsia" w:ascii="仿宋_GB2312" w:hAnsi="仿宋_GB2312" w:cs="仿宋_GB2312"/>
          <w:color w:val="000000" w:themeColor="text1"/>
          <w:sz w:val="32"/>
          <w:lang w:val="en-US"/>
          <w14:textFill>
            <w14:solidFill>
              <w14:schemeClr w14:val="tx1"/>
            </w14:solidFill>
          </w14:textFill>
        </w:rPr>
        <w:t>根据人事管理相关制度及领导干部分工管理职责，对部门管理进行如下梳理：</w:t>
      </w:r>
    </w:p>
    <w:p w14:paraId="695666D9">
      <w:pPr>
        <w:keepNext w:val="0"/>
        <w:keepLines w:val="0"/>
        <w:pageBreakBefore w:val="0"/>
        <w:kinsoku/>
        <w:wordWrap/>
        <w:overflowPunct/>
        <w:topLinePunct w:val="0"/>
        <w:autoSpaceDE/>
        <w:autoSpaceDN/>
        <w:bidi w:val="0"/>
        <w:spacing w:line="600" w:lineRule="exact"/>
        <w:ind w:firstLine="643" w:firstLineChars="200"/>
        <w:jc w:val="both"/>
        <w:textAlignment w:val="auto"/>
        <w:rPr>
          <w:rFonts w:ascii="仿宋_GB2312" w:hAnsi="仿宋_GB2312" w:cs="仿宋_GB2312"/>
          <w:b/>
          <w:bCs/>
          <w:color w:val="000000" w:themeColor="text1"/>
          <w:kern w:val="0"/>
          <w:sz w:val="32"/>
          <w:szCs w:val="28"/>
          <w14:textFill>
            <w14:solidFill>
              <w14:schemeClr w14:val="tx1"/>
            </w14:solidFill>
          </w14:textFill>
        </w:rPr>
      </w:pPr>
      <w:r>
        <w:rPr>
          <w:rFonts w:hint="eastAsia" w:ascii="仿宋_GB2312" w:hAnsi="仿宋_GB2312" w:cs="仿宋_GB2312"/>
          <w:b/>
          <w:bCs/>
          <w:color w:val="000000" w:themeColor="text1"/>
          <w:kern w:val="0"/>
          <w:sz w:val="32"/>
          <w:szCs w:val="28"/>
          <w:lang w:val="en-US" w:eastAsia="zh-CN"/>
          <w14:textFill>
            <w14:solidFill>
              <w14:schemeClr w14:val="tx1"/>
            </w14:solidFill>
          </w14:textFill>
        </w:rPr>
        <w:t>1.</w:t>
      </w:r>
      <w:r>
        <w:rPr>
          <w:rFonts w:hint="eastAsia" w:ascii="仿宋_GB2312" w:hAnsi="仿宋_GB2312" w:cs="仿宋_GB2312"/>
          <w:b/>
          <w:bCs/>
          <w:color w:val="000000" w:themeColor="text1"/>
          <w:kern w:val="0"/>
          <w:sz w:val="32"/>
          <w:szCs w:val="28"/>
          <w14:textFill>
            <w14:solidFill>
              <w14:schemeClr w14:val="tx1"/>
            </w14:solidFill>
          </w14:textFill>
        </w:rPr>
        <w:t>干部职工管理</w:t>
      </w:r>
    </w:p>
    <w:p w14:paraId="7595F2FB">
      <w:pPr>
        <w:pStyle w:val="22"/>
        <w:keepNext w:val="0"/>
        <w:keepLines w:val="0"/>
        <w:pageBreakBefore w:val="0"/>
        <w:kinsoku/>
        <w:wordWrap/>
        <w:overflowPunct/>
        <w:topLinePunct w:val="0"/>
        <w:autoSpaceDE/>
        <w:autoSpaceDN/>
        <w:bidi w:val="0"/>
        <w:spacing w:line="600" w:lineRule="exact"/>
        <w:ind w:firstLine="640" w:firstLineChars="200"/>
        <w:jc w:val="both"/>
        <w:textAlignment w:val="auto"/>
        <w:rPr>
          <w:rFonts w:ascii="仿宋_GB2312" w:hAnsi="仿宋_GB2312" w:cs="仿宋_GB2312"/>
          <w:color w:val="000000" w:themeColor="text1"/>
          <w:sz w:val="32"/>
          <w:lang w:val="en-US"/>
          <w14:textFill>
            <w14:solidFill>
              <w14:schemeClr w14:val="tx1"/>
            </w14:solidFill>
          </w14:textFill>
        </w:rPr>
      </w:pPr>
      <w:r>
        <w:rPr>
          <w:rFonts w:hint="eastAsia" w:ascii="仿宋_GB2312" w:hAnsi="仿宋_GB2312" w:cs="仿宋_GB2312"/>
          <w:color w:val="000000" w:themeColor="text1"/>
          <w:sz w:val="32"/>
          <w:lang w:val="en-US"/>
          <w14:textFill>
            <w14:solidFill>
              <w14:schemeClr w14:val="tx1"/>
            </w14:solidFill>
          </w14:textFill>
        </w:rPr>
        <w:t>为加强干部职工管理，</w:t>
      </w:r>
      <w:r>
        <w:rPr>
          <w:rFonts w:hint="eastAsia" w:ascii="仿宋_GB2312" w:hAnsi="仿宋_GB2312" w:cs="仿宋_GB2312"/>
          <w:color w:val="000000" w:themeColor="text1"/>
          <w:sz w:val="32"/>
          <w:lang w:val="en-US" w:eastAsia="zh-CN"/>
          <w14:textFill>
            <w14:solidFill>
              <w14:schemeClr w14:val="tx1"/>
            </w14:solidFill>
          </w14:textFill>
        </w:rPr>
        <w:t>提高工作人员业务能力，</w:t>
      </w:r>
      <w:r>
        <w:rPr>
          <w:rFonts w:hint="eastAsia" w:ascii="仿宋_GB2312" w:hAnsi="仿宋_GB2312" w:cs="仿宋_GB2312"/>
          <w:color w:val="000000" w:themeColor="text1"/>
          <w:sz w:val="32"/>
          <w:lang w:val="en-US"/>
          <w14:textFill>
            <w14:solidFill>
              <w14:schemeClr w14:val="tx1"/>
            </w14:solidFill>
          </w14:textFill>
        </w:rPr>
        <w:t>确保</w:t>
      </w:r>
      <w:r>
        <w:rPr>
          <w:rFonts w:hint="eastAsia" w:ascii="仿宋_GB2312" w:hAnsi="仿宋_GB2312" w:cs="仿宋_GB2312"/>
          <w:color w:val="000000" w:themeColor="text1"/>
          <w:sz w:val="32"/>
          <w:lang w:val="en-US" w:eastAsia="zh-CN"/>
          <w14:textFill>
            <w14:solidFill>
              <w14:schemeClr w14:val="tx1"/>
            </w14:solidFill>
          </w14:textFill>
        </w:rPr>
        <w:t>各项</w:t>
      </w:r>
      <w:r>
        <w:rPr>
          <w:rFonts w:hint="eastAsia" w:ascii="仿宋_GB2312" w:hAnsi="仿宋_GB2312" w:cs="仿宋_GB2312"/>
          <w:color w:val="000000" w:themeColor="text1"/>
          <w:sz w:val="32"/>
          <w:lang w:val="en-US"/>
          <w14:textFill>
            <w14:solidFill>
              <w14:schemeClr w14:val="tx1"/>
            </w14:solidFill>
          </w14:textFill>
        </w:rPr>
        <w:t>工作有效开展，</w:t>
      </w:r>
      <w:r>
        <w:rPr>
          <w:rFonts w:hint="eastAsia" w:ascii="仿宋_GB2312" w:hAnsi="仿宋_GB2312" w:cs="仿宋_GB2312"/>
          <w:color w:val="000000" w:themeColor="text1"/>
          <w:sz w:val="32"/>
          <w:lang w:val="en-US" w:eastAsia="zh-CN"/>
          <w14:textFill>
            <w14:solidFill>
              <w14:schemeClr w14:val="tx1"/>
            </w14:solidFill>
          </w14:textFill>
        </w:rPr>
        <w:t>本部门先后建立</w:t>
      </w:r>
      <w:r>
        <w:rPr>
          <w:rFonts w:hint="eastAsia" w:ascii="仿宋_GB2312" w:hAnsi="仿宋_GB2312" w:cs="仿宋_GB2312"/>
          <w:color w:val="000000" w:themeColor="text1"/>
          <w:sz w:val="32"/>
          <w:lang w:val="en-US"/>
          <w14:textFill>
            <w14:solidFill>
              <w14:schemeClr w14:val="tx1"/>
            </w14:solidFill>
          </w14:textFill>
        </w:rPr>
        <w:t>《干部职工学习制度》</w:t>
      </w:r>
      <w:r>
        <w:rPr>
          <w:rFonts w:hint="eastAsia" w:ascii="仿宋_GB2312" w:hAnsi="仿宋_GB2312" w:cs="仿宋_GB2312"/>
          <w:color w:val="000000" w:themeColor="text1"/>
          <w:sz w:val="32"/>
          <w:lang w:val="en-US" w:eastAsia="zh-CN"/>
          <w14:textFill>
            <w14:solidFill>
              <w14:schemeClr w14:val="tx1"/>
            </w14:solidFill>
          </w14:textFill>
        </w:rPr>
        <w:t>《</w:t>
      </w:r>
      <w:r>
        <w:rPr>
          <w:rFonts w:hint="eastAsia" w:ascii="仿宋_GB2312" w:hAnsi="仿宋_GB2312" w:cs="仿宋_GB2312"/>
          <w:color w:val="000000" w:themeColor="text1"/>
          <w:sz w:val="32"/>
          <w:lang w:val="en-US"/>
          <w14:textFill>
            <w14:solidFill>
              <w14:schemeClr w14:val="tx1"/>
            </w14:solidFill>
          </w14:textFill>
        </w:rPr>
        <w:t>财产管理制度</w:t>
      </w:r>
      <w:r>
        <w:rPr>
          <w:rFonts w:hint="eastAsia" w:ascii="仿宋_GB2312" w:hAnsi="仿宋_GB2312" w:cs="仿宋_GB2312"/>
          <w:color w:val="000000" w:themeColor="text1"/>
          <w:sz w:val="32"/>
          <w:lang w:val="en-US" w:eastAsia="zh-CN"/>
          <w14:textFill>
            <w14:solidFill>
              <w14:schemeClr w14:val="tx1"/>
            </w14:solidFill>
          </w14:textFill>
        </w:rPr>
        <w:t>》</w:t>
      </w:r>
      <w:r>
        <w:rPr>
          <w:rFonts w:hint="eastAsia" w:ascii="仿宋_GB2312" w:hAnsi="仿宋_GB2312" w:cs="仿宋_GB2312"/>
          <w:color w:val="000000" w:themeColor="text1"/>
          <w:sz w:val="32"/>
          <w:lang w:val="en-US"/>
          <w14:textFill>
            <w14:solidFill>
              <w14:schemeClr w14:val="tx1"/>
            </w14:solidFill>
          </w14:textFill>
        </w:rPr>
        <w:t>《值班</w:t>
      </w:r>
      <w:r>
        <w:rPr>
          <w:rFonts w:hint="eastAsia" w:ascii="仿宋_GB2312" w:hAnsi="仿宋_GB2312" w:cs="仿宋_GB2312"/>
          <w:color w:val="000000" w:themeColor="text1"/>
          <w:sz w:val="32"/>
          <w:lang w:val="en-US" w:eastAsia="zh-CN"/>
          <w14:textFill>
            <w14:solidFill>
              <w14:schemeClr w14:val="tx1"/>
            </w14:solidFill>
          </w14:textFill>
        </w:rPr>
        <w:t>管理</w:t>
      </w:r>
      <w:r>
        <w:rPr>
          <w:rFonts w:hint="eastAsia" w:ascii="仿宋_GB2312" w:hAnsi="仿宋_GB2312" w:cs="仿宋_GB2312"/>
          <w:color w:val="000000" w:themeColor="text1"/>
          <w:sz w:val="32"/>
          <w:lang w:val="en-US"/>
          <w14:textFill>
            <w14:solidFill>
              <w14:schemeClr w14:val="tx1"/>
            </w14:solidFill>
          </w14:textFill>
        </w:rPr>
        <w:t>制度》《干部职工请休</w:t>
      </w:r>
      <w:r>
        <w:rPr>
          <w:rFonts w:hint="eastAsia" w:ascii="仿宋_GB2312" w:hAnsi="仿宋_GB2312" w:cs="仿宋_GB2312"/>
          <w:color w:val="000000" w:themeColor="text1"/>
          <w:sz w:val="32"/>
          <w:lang w:val="en-US" w:eastAsia="zh-CN"/>
          <w14:textFill>
            <w14:solidFill>
              <w14:schemeClr w14:val="tx1"/>
            </w14:solidFill>
          </w14:textFill>
        </w:rPr>
        <w:t>假</w:t>
      </w:r>
      <w:r>
        <w:rPr>
          <w:rFonts w:hint="eastAsia" w:ascii="仿宋_GB2312" w:hAnsi="仿宋_GB2312" w:cs="仿宋_GB2312"/>
          <w:color w:val="000000" w:themeColor="text1"/>
          <w:sz w:val="32"/>
          <w:lang w:val="en-US"/>
          <w14:textFill>
            <w14:solidFill>
              <w14:schemeClr w14:val="tx1"/>
            </w14:solidFill>
          </w14:textFill>
        </w:rPr>
        <w:t>制度》《干部职工谈话谈心制度》等管理制度。</w:t>
      </w:r>
    </w:p>
    <w:p w14:paraId="2D4415BF">
      <w:pPr>
        <w:pStyle w:val="22"/>
        <w:keepNext w:val="0"/>
        <w:keepLines w:val="0"/>
        <w:pageBreakBefore w:val="0"/>
        <w:kinsoku/>
        <w:wordWrap/>
        <w:overflowPunct/>
        <w:topLinePunct w:val="0"/>
        <w:autoSpaceDE/>
        <w:autoSpaceDN/>
        <w:bidi w:val="0"/>
        <w:spacing w:line="600" w:lineRule="exact"/>
        <w:ind w:firstLine="643" w:firstLineChars="200"/>
        <w:jc w:val="both"/>
        <w:textAlignment w:val="auto"/>
        <w:rPr>
          <w:rFonts w:ascii="仿宋_GB2312" w:hAnsi="仿宋_GB2312" w:cs="仿宋_GB2312"/>
          <w:b/>
          <w:bCs/>
          <w:color w:val="000000" w:themeColor="text1"/>
          <w:sz w:val="32"/>
          <w:lang w:val="en-US"/>
          <w14:textFill>
            <w14:solidFill>
              <w14:schemeClr w14:val="tx1"/>
            </w14:solidFill>
          </w14:textFill>
        </w:rPr>
      </w:pPr>
      <w:r>
        <w:rPr>
          <w:rFonts w:hint="eastAsia" w:ascii="仿宋_GB2312" w:hAnsi="仿宋_GB2312" w:cs="仿宋_GB2312"/>
          <w:b/>
          <w:bCs/>
          <w:color w:val="000000" w:themeColor="text1"/>
          <w:sz w:val="32"/>
          <w:lang w:val="en-US" w:eastAsia="zh-CN"/>
          <w14:textFill>
            <w14:solidFill>
              <w14:schemeClr w14:val="tx1"/>
            </w14:solidFill>
          </w14:textFill>
        </w:rPr>
        <w:t>2.</w:t>
      </w:r>
      <w:r>
        <w:rPr>
          <w:rFonts w:hint="eastAsia" w:ascii="仿宋_GB2312" w:hAnsi="仿宋_GB2312" w:cs="仿宋_GB2312"/>
          <w:b/>
          <w:bCs/>
          <w:color w:val="000000" w:themeColor="text1"/>
          <w:sz w:val="32"/>
          <w:lang w:val="en-US"/>
          <w14:textFill>
            <w14:solidFill>
              <w14:schemeClr w14:val="tx1"/>
            </w14:solidFill>
          </w14:textFill>
        </w:rPr>
        <w:t>财务管理</w:t>
      </w:r>
    </w:p>
    <w:p w14:paraId="3BC12446">
      <w:pPr>
        <w:pStyle w:val="22"/>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我部门严格执行会计、预算、采购等相关法律法规，结合单位实际，制定了《单位内控管理制度》，通过优化业务流程、明确职责分工、加强内部协作，强化监督管理等方式方法，提高工作效率和质量，并持续进行改进和完善。主要从以下方面进行分析：</w:t>
      </w:r>
    </w:p>
    <w:p w14:paraId="39F44A5E">
      <w:pPr>
        <w:pStyle w:val="22"/>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themeColor="text1"/>
          <w:sz w:val="32"/>
          <w:lang w:val="en-US"/>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经费管理方面，年初单位财务人员负责做好年度内所需经费预算，经干部大会讨论，单位负责人审核后，按要求报财政部门审核，并按预算程序和计划执行；各项费用报销，应按财务管理制度执行，做到支有凭，付有据；除发放工资、缴纳社保、医疗、住房公积金等经费，其他大额支出的经费，需由全体干部会议集体研究决定后方可支付；日常所有办公</w:t>
      </w:r>
      <w:r>
        <w:rPr>
          <w:rFonts w:hint="eastAsia" w:ascii="仿宋_GB2312" w:hAnsi="仿宋_GB2312" w:eastAsia="仿宋_GB2312" w:cs="仿宋_GB2312"/>
          <w:color w:val="000000" w:themeColor="text1"/>
          <w:sz w:val="32"/>
          <w:lang w:val="en-US"/>
          <w14:textFill>
            <w14:solidFill>
              <w14:schemeClr w14:val="tx1"/>
            </w14:solidFill>
          </w14:textFill>
        </w:rPr>
        <w:t>经费开支，不论金额大小，</w:t>
      </w:r>
      <w:r>
        <w:rPr>
          <w:rFonts w:hint="eastAsia" w:ascii="仿宋_GB2312" w:hAnsi="仿宋_GB2312" w:eastAsia="仿宋_GB2312" w:cs="仿宋_GB2312"/>
          <w:color w:val="000000" w:themeColor="text1"/>
          <w:sz w:val="32"/>
          <w:lang w:val="en-US" w:eastAsia="zh-CN"/>
          <w14:textFill>
            <w14:solidFill>
              <w14:schemeClr w14:val="tx1"/>
            </w14:solidFill>
          </w14:textFill>
        </w:rPr>
        <w:t>先由各股室拟订办公用品使用计划，经会议确定，方可实施</w:t>
      </w:r>
      <w:r>
        <w:rPr>
          <w:rFonts w:hint="eastAsia" w:ascii="仿宋_GB2312" w:hAnsi="仿宋_GB2312" w:eastAsia="仿宋_GB2312" w:cs="仿宋_GB2312"/>
          <w:color w:val="000000" w:themeColor="text1"/>
          <w:sz w:val="32"/>
          <w:lang w:val="en-US"/>
          <w14:textFill>
            <w14:solidFill>
              <w14:schemeClr w14:val="tx1"/>
            </w14:solidFill>
          </w14:textFill>
        </w:rPr>
        <w:t>；每月终，财务人员向分管领导和主管领导汇报本月资金收支情况，以确保财政预算资金用到实处。</w:t>
      </w:r>
    </w:p>
    <w:p w14:paraId="482D6E24">
      <w:pPr>
        <w:pStyle w:val="22"/>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themeColor="text1"/>
          <w:sz w:val="32"/>
          <w:lang w:val="en-US"/>
          <w14:textFill>
            <w14:solidFill>
              <w14:schemeClr w14:val="tx1"/>
            </w14:solidFill>
          </w14:textFill>
        </w:rPr>
      </w:pPr>
      <w:r>
        <w:rPr>
          <w:rFonts w:hint="eastAsia" w:ascii="仿宋_GB2312" w:hAnsi="仿宋_GB2312" w:eastAsia="仿宋_GB2312" w:cs="仿宋_GB2312"/>
          <w:color w:val="000000" w:themeColor="text1"/>
          <w:sz w:val="32"/>
          <w:lang w:val="en-US"/>
          <w14:textFill>
            <w14:solidFill>
              <w14:schemeClr w14:val="tx1"/>
            </w14:solidFill>
          </w14:textFill>
        </w:rPr>
        <w:t>差旅费报销方面，</w:t>
      </w:r>
      <w:r>
        <w:rPr>
          <w:rFonts w:hint="eastAsia" w:ascii="仿宋_GB2312" w:hAnsi="仿宋_GB2312" w:eastAsia="仿宋_GB2312" w:cs="仿宋_GB2312"/>
          <w:color w:val="000000" w:themeColor="text1"/>
          <w:sz w:val="32"/>
          <w:lang w:val="en-US" w:eastAsia="zh-CN"/>
          <w14:textFill>
            <w14:solidFill>
              <w14:schemeClr w14:val="tx1"/>
            </w14:solidFill>
          </w14:textFill>
        </w:rPr>
        <w:t>严格落实市县差旅费管理办法。</w:t>
      </w:r>
      <w:r>
        <w:rPr>
          <w:rFonts w:hint="eastAsia" w:ascii="仿宋_GB2312" w:hAnsi="仿宋_GB2312" w:eastAsia="仿宋_GB2312" w:cs="仿宋_GB2312"/>
          <w:color w:val="000000" w:themeColor="text1"/>
          <w:sz w:val="32"/>
          <w:lang w:val="en-US"/>
          <w14:textFill>
            <w14:solidFill>
              <w14:schemeClr w14:val="tx1"/>
            </w14:solidFill>
          </w14:textFill>
        </w:rPr>
        <w:t>赴省、市外</w:t>
      </w:r>
      <w:r>
        <w:rPr>
          <w:rFonts w:hint="eastAsia" w:ascii="仿宋_GB2312" w:hAnsi="仿宋_GB2312" w:eastAsia="仿宋_GB2312" w:cs="仿宋_GB2312"/>
          <w:color w:val="000000" w:themeColor="text1"/>
          <w:sz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lang w:val="en-US"/>
          <w14:textFill>
            <w14:solidFill>
              <w14:schemeClr w14:val="tx1"/>
            </w14:solidFill>
          </w14:textFill>
        </w:rPr>
        <w:t>考察的，须经</w:t>
      </w:r>
      <w:r>
        <w:rPr>
          <w:rFonts w:hint="eastAsia" w:ascii="仿宋_GB2312" w:hAnsi="仿宋_GB2312" w:eastAsia="仿宋_GB2312" w:cs="仿宋_GB2312"/>
          <w:color w:val="000000" w:themeColor="text1"/>
          <w:sz w:val="32"/>
          <w:lang w:val="en-US" w:eastAsia="zh-CN"/>
          <w14:textFill>
            <w14:solidFill>
              <w14:schemeClr w14:val="tx1"/>
            </w14:solidFill>
          </w14:textFill>
        </w:rPr>
        <w:t>上级部门</w:t>
      </w:r>
      <w:r>
        <w:rPr>
          <w:rFonts w:hint="eastAsia" w:ascii="仿宋_GB2312" w:hAnsi="仿宋_GB2312" w:eastAsia="仿宋_GB2312" w:cs="仿宋_GB2312"/>
          <w:color w:val="000000" w:themeColor="text1"/>
          <w:sz w:val="32"/>
          <w:lang w:val="en-US"/>
          <w14:textFill>
            <w14:solidFill>
              <w14:schemeClr w14:val="tx1"/>
            </w14:solidFill>
          </w14:textFill>
        </w:rPr>
        <w:t>批准，并按规定报销</w:t>
      </w:r>
      <w:r>
        <w:rPr>
          <w:rFonts w:hint="eastAsia" w:ascii="仿宋_GB2312" w:hAnsi="仿宋_GB2312" w:eastAsia="仿宋_GB2312" w:cs="仿宋_GB2312"/>
          <w:color w:val="000000" w:themeColor="text1"/>
          <w:sz w:val="32"/>
          <w:lang w:val="en-US" w:eastAsia="zh-CN"/>
          <w14:textFill>
            <w14:solidFill>
              <w14:schemeClr w14:val="tx1"/>
            </w14:solidFill>
          </w14:textFill>
        </w:rPr>
        <w:t>相</w:t>
      </w:r>
      <w:r>
        <w:rPr>
          <w:rFonts w:hint="eastAsia" w:ascii="仿宋_GB2312" w:hAnsi="仿宋_GB2312" w:eastAsia="仿宋_GB2312" w:cs="仿宋_GB2312"/>
          <w:color w:val="000000" w:themeColor="text1"/>
          <w:sz w:val="32"/>
          <w:lang w:val="en-US"/>
          <w14:textFill>
            <w14:solidFill>
              <w14:schemeClr w14:val="tx1"/>
            </w14:solidFill>
          </w14:textFill>
        </w:rPr>
        <w:t>关费用；</w:t>
      </w:r>
      <w:r>
        <w:rPr>
          <w:rFonts w:hint="eastAsia" w:ascii="仿宋_GB2312" w:hAnsi="仿宋_GB2312" w:eastAsia="仿宋_GB2312" w:cs="仿宋_GB2312"/>
          <w:color w:val="000000" w:themeColor="text1"/>
          <w:sz w:val="32"/>
          <w:lang w:val="en-US" w:eastAsia="zh-CN"/>
          <w14:textFill>
            <w14:solidFill>
              <w14:schemeClr w14:val="tx1"/>
            </w14:solidFill>
          </w14:textFill>
        </w:rPr>
        <w:t>到</w:t>
      </w:r>
      <w:r>
        <w:rPr>
          <w:rFonts w:hint="eastAsia" w:ascii="仿宋_GB2312" w:hAnsi="仿宋_GB2312" w:eastAsia="仿宋_GB2312" w:cs="仿宋_GB2312"/>
          <w:color w:val="000000" w:themeColor="text1"/>
          <w:sz w:val="32"/>
          <w:lang w:val="en-US"/>
          <w14:textFill>
            <w14:solidFill>
              <w14:schemeClr w14:val="tx1"/>
            </w14:solidFill>
          </w14:textFill>
        </w:rPr>
        <w:t>市内</w:t>
      </w:r>
      <w:r>
        <w:rPr>
          <w:rFonts w:hint="eastAsia" w:ascii="仿宋_GB2312" w:hAnsi="仿宋_GB2312" w:eastAsia="仿宋_GB2312" w:cs="仿宋_GB2312"/>
          <w:color w:val="000000" w:themeColor="text1"/>
          <w:sz w:val="32"/>
          <w:lang w:val="en-US" w:eastAsia="zh-CN"/>
          <w14:textFill>
            <w14:solidFill>
              <w14:schemeClr w14:val="tx1"/>
            </w14:solidFill>
          </w14:textFill>
        </w:rPr>
        <w:t>外出差</w:t>
      </w:r>
      <w:r>
        <w:rPr>
          <w:rFonts w:hint="eastAsia" w:ascii="仿宋_GB2312" w:hAnsi="仿宋_GB2312" w:eastAsia="仿宋_GB2312" w:cs="仿宋_GB2312"/>
          <w:color w:val="000000" w:themeColor="text1"/>
          <w:sz w:val="32"/>
          <w:lang w:val="en-US"/>
          <w14:textFill>
            <w14:solidFill>
              <w14:schemeClr w14:val="tx1"/>
            </w14:solidFill>
          </w14:textFill>
        </w:rPr>
        <w:t>的</w:t>
      </w:r>
      <w:r>
        <w:rPr>
          <w:rFonts w:hint="eastAsia" w:ascii="仿宋_GB2312" w:hAnsi="仿宋_GB2312" w:eastAsia="仿宋_GB2312" w:cs="仿宋_GB2312"/>
          <w:color w:val="000000" w:themeColor="text1"/>
          <w:sz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lang w:val="en-US"/>
          <w14:textFill>
            <w14:solidFill>
              <w14:schemeClr w14:val="tx1"/>
            </w14:solidFill>
          </w14:textFill>
        </w:rPr>
        <w:t>必须</w:t>
      </w:r>
      <w:r>
        <w:rPr>
          <w:rFonts w:hint="eastAsia" w:ascii="仿宋_GB2312" w:hAnsi="仿宋_GB2312" w:eastAsia="仿宋_GB2312" w:cs="仿宋_GB2312"/>
          <w:color w:val="000000" w:themeColor="text1"/>
          <w:sz w:val="32"/>
          <w:lang w:val="en-US" w:eastAsia="zh-CN"/>
          <w14:textFill>
            <w14:solidFill>
              <w14:schemeClr w14:val="tx1"/>
            </w14:solidFill>
          </w14:textFill>
        </w:rPr>
        <w:t>有参加会议等事项的相关通知或函件等，</w:t>
      </w:r>
      <w:r>
        <w:rPr>
          <w:rFonts w:hint="eastAsia" w:ascii="仿宋_GB2312" w:hAnsi="仿宋_GB2312" w:eastAsia="仿宋_GB2312" w:cs="仿宋_GB2312"/>
          <w:color w:val="000000" w:themeColor="text1"/>
          <w:sz w:val="32"/>
          <w:lang w:val="en-US"/>
          <w14:textFill>
            <w14:solidFill>
              <w14:schemeClr w14:val="tx1"/>
            </w14:solidFill>
          </w14:textFill>
        </w:rPr>
        <w:t>报经单位领导批准</w:t>
      </w:r>
      <w:r>
        <w:rPr>
          <w:rFonts w:hint="eastAsia" w:ascii="仿宋_GB2312" w:hAnsi="仿宋_GB2312" w:eastAsia="仿宋_GB2312" w:cs="仿宋_GB2312"/>
          <w:color w:val="000000" w:themeColor="text1"/>
          <w:sz w:val="32"/>
          <w:lang w:val="en-US" w:eastAsia="zh-CN"/>
          <w14:textFill>
            <w14:solidFill>
              <w14:schemeClr w14:val="tx1"/>
            </w14:solidFill>
          </w14:textFill>
        </w:rPr>
        <w:t>后</w:t>
      </w:r>
      <w:r>
        <w:rPr>
          <w:rFonts w:hint="eastAsia" w:ascii="仿宋_GB2312" w:hAnsi="仿宋_GB2312" w:eastAsia="仿宋_GB2312" w:cs="仿宋_GB2312"/>
          <w:color w:val="000000" w:themeColor="text1"/>
          <w:sz w:val="32"/>
          <w:lang w:val="en-US"/>
          <w14:textFill>
            <w14:solidFill>
              <w14:schemeClr w14:val="tx1"/>
            </w14:solidFill>
          </w14:textFill>
        </w:rPr>
        <w:t>，按规定报销差旅费用。</w:t>
      </w:r>
    </w:p>
    <w:p w14:paraId="2A323E6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四、履职完成情况</w:t>
      </w:r>
    </w:p>
    <w:p w14:paraId="635B0F46">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28"/>
          <w:lang w:val="en-US" w:eastAsia="zh-CN" w:bidi="ar-SA"/>
          <w14:textFill>
            <w14:solidFill>
              <w14:schemeClr w14:val="tx1"/>
            </w14:solidFill>
          </w14:textFill>
        </w:rPr>
        <w:t>一年来，全县老干部工作认真落实全国、全省老干部局长会议和全市组织部长会议、老干部（关心下一代）工作会议精神，紧紧围绕县委工作部署要求，聚焦大局、主动作为，深入实施“凝心铸魂、强基固本、银发生辉、情暖夕阳、能力锻造”五大工程和“银发生辉建新功”七大行动，老干部工作取得新进展、实现新突破、开创新局面。一是突出凝心铸魂，强化理论武装；二是坚持强基固本，加强组织建设；三是强化精准服务，提升服务质效；四是拓宽平台载体，激发奉献热情；五是加强自身建设，打造过硬队伍。</w:t>
      </w:r>
    </w:p>
    <w:p w14:paraId="0976E89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五、存在的问题</w:t>
      </w:r>
    </w:p>
    <w:p w14:paraId="2F83F6C8">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28"/>
          <w:lang w:val="en-US" w:eastAsia="zh-CN" w:bidi="ar-SA"/>
          <w14:textFill>
            <w14:solidFill>
              <w14:schemeClr w14:val="tx1"/>
            </w14:solidFill>
          </w14:textFill>
        </w:rPr>
        <w:t>回顾一年来的工作，还存在一些不足和差距，主要表现在：一是离退休干部党组织建设有形覆盖、有效覆盖还需持续加强；二是“六好”离退休干部示范党支部创建工作还需进一步加强，示范点培树打造成效不够明显。</w:t>
      </w:r>
    </w:p>
    <w:p w14:paraId="7EB1BD67">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整改措施或建议</w:t>
      </w:r>
    </w:p>
    <w:p w14:paraId="7D4D0AA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一是</w:t>
      </w:r>
      <w:r>
        <w:rPr>
          <w:rFonts w:hint="eastAsia" w:ascii="仿宋_GB2312" w:hAnsi="仿宋_GB2312" w:eastAsia="仿宋_GB2312" w:cs="仿宋_GB2312"/>
          <w:b w:val="0"/>
          <w:bCs/>
          <w:color w:val="auto"/>
          <w:sz w:val="32"/>
          <w:szCs w:val="32"/>
          <w:highlight w:val="none"/>
        </w:rPr>
        <w:t>预算编制需进一步完善</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虽然项目预算总体合理，但仍存在部分预算编制不够精细的问题</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今后将加强预算编制的精细化管理，提高预算的准确性和科学性。</w:t>
      </w:r>
    </w:p>
    <w:p w14:paraId="59A2E7E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二是</w:t>
      </w:r>
      <w:r>
        <w:rPr>
          <w:rFonts w:hint="eastAsia" w:ascii="仿宋_GB2312" w:hAnsi="仿宋_GB2312" w:eastAsia="仿宋_GB2312" w:cs="仿宋_GB2312"/>
          <w:b w:val="0"/>
          <w:bCs/>
          <w:color w:val="auto"/>
          <w:sz w:val="32"/>
          <w:szCs w:val="32"/>
          <w:highlight w:val="none"/>
        </w:rPr>
        <w:t>资金使用效率需进一步提高</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部分资金使用效率不高，存在资金闲置现象</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今后将加强资金使用的监管和调度，确保资金的高效使用。</w:t>
      </w:r>
    </w:p>
    <w:p w14:paraId="14BA78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三是强化预算执行管理力度</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在科学编制年度部门预算的基础上，在推进落实工作计划的同时，严格执行相关支出预算，</w:t>
      </w:r>
      <w:r>
        <w:rPr>
          <w:rFonts w:hint="eastAsia" w:ascii="仿宋_GB2312" w:hAnsi="仿宋_GB2312" w:eastAsia="仿宋_GB2312" w:cs="仿宋_GB2312"/>
          <w:color w:val="auto"/>
          <w:sz w:val="32"/>
          <w:szCs w:val="32"/>
          <w:highlight w:val="none"/>
          <w:lang w:val="en-US" w:eastAsia="zh-CN"/>
        </w:rPr>
        <w:t>确保</w:t>
      </w:r>
      <w:r>
        <w:rPr>
          <w:rFonts w:hint="eastAsia" w:ascii="仿宋_GB2312" w:hAnsi="仿宋_GB2312" w:eastAsia="仿宋_GB2312" w:cs="仿宋_GB2312"/>
          <w:color w:val="auto"/>
          <w:sz w:val="32"/>
          <w:szCs w:val="32"/>
          <w:highlight w:val="none"/>
        </w:rPr>
        <w:t>支出预算执行率</w:t>
      </w:r>
      <w:r>
        <w:rPr>
          <w:rFonts w:hint="eastAsia" w:ascii="仿宋_GB2312" w:hAnsi="仿宋_GB2312" w:eastAsia="仿宋_GB2312" w:cs="仿宋_GB2312"/>
          <w:color w:val="auto"/>
          <w:sz w:val="32"/>
          <w:szCs w:val="32"/>
          <w:highlight w:val="none"/>
          <w:lang w:val="en-US" w:eastAsia="zh-CN"/>
        </w:rPr>
        <w:t>达到预定目标</w:t>
      </w:r>
      <w:r>
        <w:rPr>
          <w:rFonts w:hint="eastAsia" w:ascii="仿宋_GB2312" w:hAnsi="仿宋_GB2312" w:eastAsia="仿宋_GB2312" w:cs="仿宋_GB2312"/>
          <w:color w:val="auto"/>
          <w:sz w:val="32"/>
          <w:szCs w:val="32"/>
          <w:highlight w:val="none"/>
        </w:rPr>
        <w:t>。</w:t>
      </w:r>
    </w:p>
    <w:p w14:paraId="39E6682A">
      <w:pPr>
        <w:pStyle w:val="4"/>
        <w:keepNext w:val="0"/>
        <w:keepLines w:val="0"/>
        <w:pageBreakBefore w:val="0"/>
        <w:tabs>
          <w:tab w:val="left" w:pos="6923"/>
        </w:tabs>
        <w:kinsoku/>
        <w:wordWrap/>
        <w:overflowPunct/>
        <w:topLinePunct w:val="0"/>
        <w:autoSpaceDE/>
        <w:autoSpaceDN/>
        <w:bidi w:val="0"/>
        <w:spacing w:line="600" w:lineRule="exac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sz w:val="32"/>
          <w:lang w:eastAsia="zh-CN"/>
        </w:rPr>
        <w:tab/>
      </w:r>
    </w:p>
    <w:p w14:paraId="41CC9477">
      <w:pPr>
        <w:pStyle w:val="5"/>
        <w:rPr>
          <w:rFonts w:hint="eastAsia" w:ascii="仿宋_GB2312" w:hAnsi="仿宋_GB2312" w:eastAsia="仿宋_GB2312" w:cs="仿宋_GB2312"/>
          <w:b w:val="0"/>
          <w:bCs/>
          <w:color w:val="auto"/>
          <w:kern w:val="2"/>
          <w:sz w:val="32"/>
          <w:szCs w:val="32"/>
          <w:highlight w:val="none"/>
          <w:lang w:val="en-US" w:eastAsia="zh-CN" w:bidi="ar-SA"/>
        </w:rPr>
      </w:pPr>
    </w:p>
    <w:p w14:paraId="6BD3F3AC">
      <w:pPr>
        <w:rPr>
          <w:rFonts w:hint="eastAsia"/>
          <w:lang w:val="en-US" w:eastAsia="zh-CN"/>
        </w:rPr>
      </w:pPr>
    </w:p>
    <w:p w14:paraId="00BEFA1B">
      <w:pPr>
        <w:rPr>
          <w:rFonts w:hint="eastAsia" w:ascii="仿宋_GB2312" w:hAnsi="仿宋_GB2312" w:eastAsia="仿宋_GB2312" w:cs="仿宋_GB2312"/>
          <w:b w:val="0"/>
          <w:bCs/>
          <w:color w:val="auto"/>
          <w:kern w:val="2"/>
          <w:sz w:val="32"/>
          <w:szCs w:val="32"/>
          <w:highlight w:val="none"/>
          <w:lang w:val="en-US" w:eastAsia="zh-CN" w:bidi="ar-SA"/>
        </w:rPr>
      </w:pPr>
    </w:p>
    <w:p w14:paraId="5343D83A">
      <w:pPr>
        <w:keepNext w:val="0"/>
        <w:keepLines w:val="0"/>
        <w:pageBreakBefore w:val="0"/>
        <w:widowControl w:val="0"/>
        <w:kinsoku/>
        <w:wordWrap/>
        <w:overflowPunct/>
        <w:topLinePunct w:val="0"/>
        <w:autoSpaceDE/>
        <w:autoSpaceDN/>
        <w:bidi w:val="0"/>
        <w:adjustRightInd/>
        <w:snapToGrid/>
        <w:ind w:firstLine="3840" w:firstLineChars="1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临泽县老干部服务中心</w:t>
      </w:r>
    </w:p>
    <w:p w14:paraId="6B2E4750">
      <w:pPr>
        <w:pStyle w:val="4"/>
        <w:ind w:firstLine="4160" w:firstLineChars="13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2025年3月5日</w:t>
      </w:r>
    </w:p>
    <w:sectPr>
      <w:footerReference r:id="rId7" w:type="default"/>
      <w:pgSz w:w="11906" w:h="16838"/>
      <w:pgMar w:top="2154" w:right="1531" w:bottom="1587" w:left="1587" w:header="851" w:footer="1417" w:gutter="0"/>
      <w:pgNumType w:fmt="numberInDash" w:start="1"/>
      <w:cols w:space="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DB25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9685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w="9525">
                        <a:noFill/>
                      </a:ln>
                      <a:effectLst/>
                    </wps:spPr>
                    <wps:txbx>
                      <w:txbxContent>
                        <w:p w14:paraId="0BEB0309">
                          <w:pPr>
                            <w:snapToGrid w:val="0"/>
                            <w:rPr>
                              <w:sz w:val="18"/>
                            </w:rPr>
                          </w:pPr>
                        </w:p>
                      </w:txbxContent>
                    </wps:txbx>
                    <wps:bodyPr wrap="none" lIns="0" tIns="0" rIns="0" bIns="0">
                      <a:spAutoFit/>
                    </wps:bodyPr>
                  </wps:wsp>
                </a:graphicData>
              </a:graphic>
            </wp:anchor>
          </w:drawing>
        </mc:Choice>
        <mc:Fallback>
          <w:pict>
            <v:shape id="文本框1" o:spid="_x0000_s1026" o:spt="202" type="#_x0000_t202" style="position:absolute;left:0pt;margin-top:0pt;height:15.5pt;width:9.05pt;mso-position-horizontal:center;mso-position-horizontal-relative:margin;mso-wrap-style:none;z-index:251659264;mso-width-relative:page;mso-height-relative:page;" filled="f" stroked="f" coordsize="21600,21600" o:gfxdata="UEsDBAoAAAAAAIdO4kAAAAAAAAAAAAAAAAAEAAAAZHJzL1BLAwQUAAAACACHTuJA0Nb9+dAAAAAD&#10;AQAADwAAAGRycy9kb3ducmV2LnhtbE2PQUvEMBCF74L/IYzgzU2qoKU23cOCF2+uInibbWabYjIp&#10;Sbbb/nuzXvQy8HiP975pt4t3YqaYxsAaqo0CQdwHM/Kg4eP95a4GkTKyQReYNKyUYNtdX7XYmHDm&#10;N5r3eRClhFODGmzOUyNl6i15TJswERfvGKLHXGQcpIl4LuXeyXulHqXHkcuCxYl2lvrv/clreFo+&#10;A02JdvR1nPtox7V2r6vWtzeVegaRacl/YbjgF3ToCtMhnNgk4TSUR/LvvXh1BeKg4aFSILtW/mfv&#10;fgBQSwMEFAAAAAgAh07iQJFdENDVAQAAoQMAAA4AAABkcnMvZTJvRG9jLnhtbK1TS27bMBDdB+gd&#10;CO5rWW4dxILlIIWRokDRBnB7AJoiLQL8gUNb8gXaG3TVTfc9l8+RISU7RbrJIhtqyJl5M+/NaHnb&#10;G00OIoBytqblZEqJsNw1yu5q+v3b/dsbSiAy2zDtrKjpUQC9Xb25Wna+EjPXOt2IQBDEQtX5mrYx&#10;+qoogLfCMJg4Lyw6pQuGRbyGXdEE1iG60cVsOr0uOhcaHxwXAPi6Hpx0RAwvAXRSKi7Wju+NsHFA&#10;DUKziJSgVR7oKncrpeDxq5QgItE1RaYxn1gE7W06i9WSVbvAfKv42AJ7SQvPOBmmLBa9QK1ZZGQf&#10;1H9QRvHgwMk44c4UA5GsCLIop8+02bTMi8wFpQZ/ER1eD5Z/OTwEohrcBEosMzjw06+fp99/T39+&#10;lEmdzkOFQRuPYbH/4PoUOb4DPibSvQwmfZEOQT9qe7xoK/pIeEoq3y/ezSnh6CoX1zfzrH3xlOwD&#10;xI/CGZKMmgYcXVaUHT5DxIIYeg5Jtay7V1rn8WlLupou5rN5Trh4MEPbFCvyIowwidDQeLJiv+1H&#10;NlvXHJFkh8tQU4u7T4n+ZFHrtDdnI5yN7WgkfPB3+4j95DYT6gCFPacLTi53P25ZWo1/7znq6c9a&#10;P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1v350AAAAAMBAAAPAAAAAAAAAAEAIAAAACIAAABk&#10;cnMvZG93bnJldi54bWxQSwECFAAUAAAACACHTuJAkV0Q0NUBAAChAwAADgAAAAAAAAABACAAAAAf&#10;AQAAZHJzL2Uyb0RvYy54bWxQSwUGAAAAAAYABgBZAQAAZgUAAAAA&#10;">
              <v:fill on="f" focussize="0,0"/>
              <v:stroke on="f"/>
              <v:imagedata o:title=""/>
              <o:lock v:ext="edit" aspectratio="f"/>
              <v:textbox inset="0mm,0mm,0mm,0mm" style="mso-fit-shape-to-text:t;">
                <w:txbxContent>
                  <w:p w14:paraId="0BEB0309">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125C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5F9B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55F9B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96850"/>
              <wp:effectExtent l="0" t="0" r="0" b="0"/>
              <wp:wrapNone/>
              <wp:docPr id="5" name="文本框1"/>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w="9525">
                        <a:noFill/>
                      </a:ln>
                      <a:effectLst/>
                    </wps:spPr>
                    <wps:txbx>
                      <w:txbxContent>
                        <w:p w14:paraId="2CAE9FB0">
                          <w:pPr>
                            <w:snapToGrid w:val="0"/>
                            <w:rPr>
                              <w:sz w:val="18"/>
                            </w:rPr>
                          </w:pPr>
                        </w:p>
                      </w:txbxContent>
                    </wps:txbx>
                    <wps:bodyPr wrap="none" lIns="0" tIns="0" rIns="0" bIns="0">
                      <a:spAutoFit/>
                    </wps:bodyPr>
                  </wps:wsp>
                </a:graphicData>
              </a:graphic>
            </wp:anchor>
          </w:drawing>
        </mc:Choice>
        <mc:Fallback>
          <w:pict>
            <v:shape id="文本框1" o:spid="_x0000_s1026" o:spt="202" type="#_x0000_t202" style="position:absolute;left:0pt;margin-top:0pt;height:15.5pt;width:9.05pt;mso-position-horizontal:center;mso-position-horizontal-relative:margin;mso-wrap-style:none;z-index:251660288;mso-width-relative:page;mso-height-relative:page;" filled="f" stroked="f" coordsize="21600,21600" o:gfxdata="UEsDBAoAAAAAAIdO4kAAAAAAAAAAAAAAAAAEAAAAZHJzL1BLAwQUAAAACACHTuJA0Nb9+dAAAAAD&#10;AQAADwAAAGRycy9kb3ducmV2LnhtbE2PQUvEMBCF74L/IYzgzU2qoKU23cOCF2+uInibbWabYjIp&#10;Sbbb/nuzXvQy8HiP975pt4t3YqaYxsAaqo0CQdwHM/Kg4eP95a4GkTKyQReYNKyUYNtdX7XYmHDm&#10;N5r3eRClhFODGmzOUyNl6i15TJswERfvGKLHXGQcpIl4LuXeyXulHqXHkcuCxYl2lvrv/clreFo+&#10;A02JdvR1nPtox7V2r6vWtzeVegaRacl/YbjgF3ToCtMhnNgk4TSUR/LvvXh1BeKg4aFSILtW/mfv&#10;fgBQSwMEFAAAAAgAh07iQMDqoxrVAQAAoQMAAA4AAABkcnMvZTJvRG9jLnhtbK1TS27bMBDdF8gd&#10;CO5jWW4cxILpIIWRoEDRFkh7AJqiLAL8gUNb8gXaG3TVTfc9l8+RISU7RbrJIhtqyJl5fO9xtLzt&#10;jSZ7GUA5y2g5mVIirXC1sltGv3+7v7yhBCK3NdfOSkYPEujt6uLdsvOVnLnW6VoGgiAWqs4z2sbo&#10;q6IA0UrDYeK8tJhsXDA84jZsizrwDtGNLmbT6XXRuVD74IQEwNP1kKQjYngNoGsaJeTaiZ2RNg6o&#10;QWoeURK0ygNdZbZNI0X80jQgI9GMotKYV7wE401ai9WSV9vAfavESIG/hsILTYYri5eeodY8crIL&#10;6j8oo0Rw4Jo4Ec4Ug5DsCKoopy+8eWy5l1kLWg3+bDq8Haz4vP8aiKoZnVNiucEHP/76efz99/jn&#10;R5nc6TxUWPTosSz2H1yPM3M6BzxMovsmmPRFOQTz6O3h7K3sIxGpqbxavMc7BKbKxfXNPHtfPDf7&#10;APFBOkNSwGjAp8uO8v0niEgES08l6S7r7pXW+fm0JR2ji/lsnhvOGezQNtXKPAgjTBI0EE9R7Df9&#10;qHLj6gOK7HAYGLU4+5Tojxa9TnNzCsIp2IxBwgd/t4vIJ9NMqAMUck4bfLnMfpyyNBr/7nPV85+1&#10;e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1v350AAAAAMBAAAPAAAAAAAAAAEAIAAAACIAAABk&#10;cnMvZG93bnJldi54bWxQSwECFAAUAAAACACHTuJAwOqjGtUBAAChAwAADgAAAAAAAAABACAAAAAf&#10;AQAAZHJzL2Uyb0RvYy54bWxQSwUGAAAAAAYABgBZAQAAZgUAAAAA&#10;">
              <v:fill on="f" focussize="0,0"/>
              <v:stroke on="f"/>
              <v:imagedata o:title=""/>
              <o:lock v:ext="edit" aspectratio="f"/>
              <v:textbox inset="0mm,0mm,0mm,0mm" style="mso-fit-shape-to-text:t;">
                <w:txbxContent>
                  <w:p w14:paraId="2CAE9FB0">
                    <w:pPr>
                      <w:snapToGrid w:val="0"/>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7AB9">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2AD6B"/>
    <w:multiLevelType w:val="singleLevel"/>
    <w:tmpl w:val="A312AD6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218"/>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M2ZkNjMzYjNhZjc3NzZkMGZlNTA4Mjg0NzZjMGUifQ=="/>
  </w:docVars>
  <w:rsids>
    <w:rsidRoot w:val="0E891585"/>
    <w:rsid w:val="00127541"/>
    <w:rsid w:val="00190816"/>
    <w:rsid w:val="002B4B28"/>
    <w:rsid w:val="003F56DB"/>
    <w:rsid w:val="00485D6B"/>
    <w:rsid w:val="006C5003"/>
    <w:rsid w:val="00700851"/>
    <w:rsid w:val="00897C8B"/>
    <w:rsid w:val="008A386C"/>
    <w:rsid w:val="00973E53"/>
    <w:rsid w:val="00A725D2"/>
    <w:rsid w:val="00B22986"/>
    <w:rsid w:val="00BD7451"/>
    <w:rsid w:val="00DC3824"/>
    <w:rsid w:val="00E015CE"/>
    <w:rsid w:val="02901060"/>
    <w:rsid w:val="02D07A48"/>
    <w:rsid w:val="03034879"/>
    <w:rsid w:val="032F2286"/>
    <w:rsid w:val="037A17BC"/>
    <w:rsid w:val="03B754B3"/>
    <w:rsid w:val="0433224A"/>
    <w:rsid w:val="04450781"/>
    <w:rsid w:val="050C6887"/>
    <w:rsid w:val="05164C02"/>
    <w:rsid w:val="052C10AC"/>
    <w:rsid w:val="059F1735"/>
    <w:rsid w:val="05A8373F"/>
    <w:rsid w:val="06AD38A3"/>
    <w:rsid w:val="07084F30"/>
    <w:rsid w:val="07E87214"/>
    <w:rsid w:val="07EF58A1"/>
    <w:rsid w:val="0882554E"/>
    <w:rsid w:val="08E4485E"/>
    <w:rsid w:val="08E82583"/>
    <w:rsid w:val="09745809"/>
    <w:rsid w:val="099D2A89"/>
    <w:rsid w:val="09C76335"/>
    <w:rsid w:val="0A6D4F24"/>
    <w:rsid w:val="0B806558"/>
    <w:rsid w:val="0C441E40"/>
    <w:rsid w:val="0C620E77"/>
    <w:rsid w:val="0C8F394B"/>
    <w:rsid w:val="0CA23CF8"/>
    <w:rsid w:val="0CF92A33"/>
    <w:rsid w:val="0DBF6005"/>
    <w:rsid w:val="0E0A4CAA"/>
    <w:rsid w:val="0E102331"/>
    <w:rsid w:val="0E891585"/>
    <w:rsid w:val="0F006E14"/>
    <w:rsid w:val="0F4878B5"/>
    <w:rsid w:val="105A5BC0"/>
    <w:rsid w:val="10B206F3"/>
    <w:rsid w:val="11163CC2"/>
    <w:rsid w:val="11A035D2"/>
    <w:rsid w:val="13C42DEB"/>
    <w:rsid w:val="13E1581F"/>
    <w:rsid w:val="13FA103E"/>
    <w:rsid w:val="1421368B"/>
    <w:rsid w:val="14F84E33"/>
    <w:rsid w:val="15344181"/>
    <w:rsid w:val="17755BF2"/>
    <w:rsid w:val="181747C7"/>
    <w:rsid w:val="192172B5"/>
    <w:rsid w:val="19AC0DF5"/>
    <w:rsid w:val="1AFE4936"/>
    <w:rsid w:val="1C6D5BC8"/>
    <w:rsid w:val="1D3A34B5"/>
    <w:rsid w:val="1DAC3DE4"/>
    <w:rsid w:val="1E656262"/>
    <w:rsid w:val="1E9551B4"/>
    <w:rsid w:val="1EF8106D"/>
    <w:rsid w:val="1F5E18A9"/>
    <w:rsid w:val="1F616DAB"/>
    <w:rsid w:val="1FAB2F6B"/>
    <w:rsid w:val="1FD34689"/>
    <w:rsid w:val="2006644D"/>
    <w:rsid w:val="206B123E"/>
    <w:rsid w:val="20D538D0"/>
    <w:rsid w:val="20FF1CE3"/>
    <w:rsid w:val="215B0A1A"/>
    <w:rsid w:val="21966D7F"/>
    <w:rsid w:val="223203B0"/>
    <w:rsid w:val="228672C6"/>
    <w:rsid w:val="22874567"/>
    <w:rsid w:val="23846CCE"/>
    <w:rsid w:val="23FE03A9"/>
    <w:rsid w:val="24F31ED8"/>
    <w:rsid w:val="25611C99"/>
    <w:rsid w:val="25AA29B2"/>
    <w:rsid w:val="26483F30"/>
    <w:rsid w:val="265C1EEB"/>
    <w:rsid w:val="265F2F20"/>
    <w:rsid w:val="26660934"/>
    <w:rsid w:val="2673108C"/>
    <w:rsid w:val="268C6D85"/>
    <w:rsid w:val="269E1528"/>
    <w:rsid w:val="26B606BD"/>
    <w:rsid w:val="27722488"/>
    <w:rsid w:val="278E4F1E"/>
    <w:rsid w:val="29A9603F"/>
    <w:rsid w:val="2A4948C9"/>
    <w:rsid w:val="2A8C7222"/>
    <w:rsid w:val="2A965067"/>
    <w:rsid w:val="2B2A0714"/>
    <w:rsid w:val="2C065DA4"/>
    <w:rsid w:val="2C096F1D"/>
    <w:rsid w:val="2C362D24"/>
    <w:rsid w:val="2C7D3482"/>
    <w:rsid w:val="2CC21EA8"/>
    <w:rsid w:val="2CC31B0E"/>
    <w:rsid w:val="2D1A3F92"/>
    <w:rsid w:val="2D1B36F8"/>
    <w:rsid w:val="2D725DD0"/>
    <w:rsid w:val="2D746964"/>
    <w:rsid w:val="2D8C5BE1"/>
    <w:rsid w:val="2DD3666B"/>
    <w:rsid w:val="2DE4456A"/>
    <w:rsid w:val="2DE514DA"/>
    <w:rsid w:val="2E35300E"/>
    <w:rsid w:val="2F124B01"/>
    <w:rsid w:val="301B72B2"/>
    <w:rsid w:val="307B29B7"/>
    <w:rsid w:val="30A9101A"/>
    <w:rsid w:val="30D756C5"/>
    <w:rsid w:val="30E52701"/>
    <w:rsid w:val="313F6F61"/>
    <w:rsid w:val="31DB3464"/>
    <w:rsid w:val="324C6402"/>
    <w:rsid w:val="32BE6308"/>
    <w:rsid w:val="32D218A0"/>
    <w:rsid w:val="330E71A0"/>
    <w:rsid w:val="33806D65"/>
    <w:rsid w:val="341A0F4F"/>
    <w:rsid w:val="34D86FD8"/>
    <w:rsid w:val="35EC46CA"/>
    <w:rsid w:val="35F46DD1"/>
    <w:rsid w:val="366900D9"/>
    <w:rsid w:val="36B756E5"/>
    <w:rsid w:val="36CC66A9"/>
    <w:rsid w:val="37A142D7"/>
    <w:rsid w:val="385F541F"/>
    <w:rsid w:val="39090ACC"/>
    <w:rsid w:val="3A287454"/>
    <w:rsid w:val="3A4A475A"/>
    <w:rsid w:val="3A775788"/>
    <w:rsid w:val="3BBF5B96"/>
    <w:rsid w:val="3BDF62D0"/>
    <w:rsid w:val="3C251D15"/>
    <w:rsid w:val="3D1C4840"/>
    <w:rsid w:val="3D6F5574"/>
    <w:rsid w:val="3DB71999"/>
    <w:rsid w:val="3DF123C3"/>
    <w:rsid w:val="3DFE7E20"/>
    <w:rsid w:val="3E1F1FE5"/>
    <w:rsid w:val="3EDE6683"/>
    <w:rsid w:val="3F8A2915"/>
    <w:rsid w:val="3FB15639"/>
    <w:rsid w:val="3FF95CCA"/>
    <w:rsid w:val="400E6277"/>
    <w:rsid w:val="40E70444"/>
    <w:rsid w:val="42325117"/>
    <w:rsid w:val="4242307D"/>
    <w:rsid w:val="425F6DF0"/>
    <w:rsid w:val="42867133"/>
    <w:rsid w:val="42D23C76"/>
    <w:rsid w:val="431C4020"/>
    <w:rsid w:val="43EF2D90"/>
    <w:rsid w:val="442C5D93"/>
    <w:rsid w:val="45316902"/>
    <w:rsid w:val="46560FFD"/>
    <w:rsid w:val="46A630A7"/>
    <w:rsid w:val="470537CD"/>
    <w:rsid w:val="47385682"/>
    <w:rsid w:val="47CF2E17"/>
    <w:rsid w:val="47DA54D2"/>
    <w:rsid w:val="483161C9"/>
    <w:rsid w:val="48BF5B4C"/>
    <w:rsid w:val="49877B8F"/>
    <w:rsid w:val="4D1A250B"/>
    <w:rsid w:val="4D2B15F6"/>
    <w:rsid w:val="4D441002"/>
    <w:rsid w:val="4D60672E"/>
    <w:rsid w:val="4DA17597"/>
    <w:rsid w:val="4DF176EF"/>
    <w:rsid w:val="4E3725FF"/>
    <w:rsid w:val="4E424783"/>
    <w:rsid w:val="4E834801"/>
    <w:rsid w:val="4EAE71F4"/>
    <w:rsid w:val="4F6A4788"/>
    <w:rsid w:val="4FBD3D43"/>
    <w:rsid w:val="4FDD43E5"/>
    <w:rsid w:val="50602F91"/>
    <w:rsid w:val="507A2D98"/>
    <w:rsid w:val="50B64F9D"/>
    <w:rsid w:val="50CF30C7"/>
    <w:rsid w:val="51622765"/>
    <w:rsid w:val="51970D16"/>
    <w:rsid w:val="519F5DF6"/>
    <w:rsid w:val="51C831D6"/>
    <w:rsid w:val="51FB53CA"/>
    <w:rsid w:val="527E3C5D"/>
    <w:rsid w:val="52A219E3"/>
    <w:rsid w:val="52CF3CA0"/>
    <w:rsid w:val="534C5C9D"/>
    <w:rsid w:val="53E939B1"/>
    <w:rsid w:val="540B602C"/>
    <w:rsid w:val="545D7232"/>
    <w:rsid w:val="54B70644"/>
    <w:rsid w:val="55120C02"/>
    <w:rsid w:val="55A41C2D"/>
    <w:rsid w:val="55B92675"/>
    <w:rsid w:val="55BE6DB7"/>
    <w:rsid w:val="55CA7946"/>
    <w:rsid w:val="56E3499B"/>
    <w:rsid w:val="573319C2"/>
    <w:rsid w:val="573F66F7"/>
    <w:rsid w:val="57603931"/>
    <w:rsid w:val="57767448"/>
    <w:rsid w:val="57B1418D"/>
    <w:rsid w:val="58614B5E"/>
    <w:rsid w:val="586B0DAE"/>
    <w:rsid w:val="587E7ECB"/>
    <w:rsid w:val="58DB507A"/>
    <w:rsid w:val="59744CA8"/>
    <w:rsid w:val="5A8042EB"/>
    <w:rsid w:val="5BED285C"/>
    <w:rsid w:val="5C434333"/>
    <w:rsid w:val="5C617EA2"/>
    <w:rsid w:val="5CBE3182"/>
    <w:rsid w:val="5D655292"/>
    <w:rsid w:val="5E1060ED"/>
    <w:rsid w:val="5E2B7A29"/>
    <w:rsid w:val="5E5273CC"/>
    <w:rsid w:val="5EF00C63"/>
    <w:rsid w:val="60711C34"/>
    <w:rsid w:val="607F783A"/>
    <w:rsid w:val="60846CF1"/>
    <w:rsid w:val="613C039B"/>
    <w:rsid w:val="630302A6"/>
    <w:rsid w:val="637E428B"/>
    <w:rsid w:val="63B71F26"/>
    <w:rsid w:val="63CA40E4"/>
    <w:rsid w:val="64832587"/>
    <w:rsid w:val="64E677CE"/>
    <w:rsid w:val="64FF1454"/>
    <w:rsid w:val="66F46C93"/>
    <w:rsid w:val="670021E9"/>
    <w:rsid w:val="672957C5"/>
    <w:rsid w:val="677F5B67"/>
    <w:rsid w:val="67A142C9"/>
    <w:rsid w:val="68B33A79"/>
    <w:rsid w:val="69E96192"/>
    <w:rsid w:val="6A720BBF"/>
    <w:rsid w:val="6AAA26C2"/>
    <w:rsid w:val="6AB62F7E"/>
    <w:rsid w:val="6BAE1707"/>
    <w:rsid w:val="6BDF63C2"/>
    <w:rsid w:val="6CBE7962"/>
    <w:rsid w:val="6CD33AEF"/>
    <w:rsid w:val="6E112F9E"/>
    <w:rsid w:val="6E1B78B0"/>
    <w:rsid w:val="6E57590B"/>
    <w:rsid w:val="6E6B353C"/>
    <w:rsid w:val="6E984B28"/>
    <w:rsid w:val="6EA5521D"/>
    <w:rsid w:val="6EE771D7"/>
    <w:rsid w:val="6F49468F"/>
    <w:rsid w:val="70051CAA"/>
    <w:rsid w:val="700B69D4"/>
    <w:rsid w:val="705C6487"/>
    <w:rsid w:val="70AE52B6"/>
    <w:rsid w:val="7244608C"/>
    <w:rsid w:val="72A71511"/>
    <w:rsid w:val="72FC6E43"/>
    <w:rsid w:val="73A56B29"/>
    <w:rsid w:val="74373814"/>
    <w:rsid w:val="746C7962"/>
    <w:rsid w:val="74B9514E"/>
    <w:rsid w:val="74F22E08"/>
    <w:rsid w:val="75797088"/>
    <w:rsid w:val="75AD31CB"/>
    <w:rsid w:val="75C21594"/>
    <w:rsid w:val="76466FF6"/>
    <w:rsid w:val="76CA1658"/>
    <w:rsid w:val="76E732D0"/>
    <w:rsid w:val="7747487C"/>
    <w:rsid w:val="77E23029"/>
    <w:rsid w:val="780853DB"/>
    <w:rsid w:val="78647052"/>
    <w:rsid w:val="799E3EBF"/>
    <w:rsid w:val="79BB7C6D"/>
    <w:rsid w:val="7A485754"/>
    <w:rsid w:val="7A541B99"/>
    <w:rsid w:val="7A646DD9"/>
    <w:rsid w:val="7B14665D"/>
    <w:rsid w:val="7B85422E"/>
    <w:rsid w:val="7BD062B5"/>
    <w:rsid w:val="7C1A1A27"/>
    <w:rsid w:val="7D3A14B5"/>
    <w:rsid w:val="7D6D005F"/>
    <w:rsid w:val="7DA9056C"/>
    <w:rsid w:val="7F1B3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eastAsia="仿宋_GB2312" w:asciiTheme="minorHAnsi" w:hAnsiTheme="minorHAnsi" w:cstheme="minorBidi"/>
      <w:kern w:val="2"/>
      <w:sz w:val="32"/>
      <w:szCs w:val="22"/>
      <w:lang w:val="en-US" w:eastAsia="zh-CN" w:bidi="ar-SA"/>
    </w:rPr>
  </w:style>
  <w:style w:type="paragraph" w:styleId="2">
    <w:name w:val="heading 3"/>
    <w:basedOn w:val="1"/>
    <w:next w:val="1"/>
    <w:autoRedefine/>
    <w:unhideWhenUsed/>
    <w:qFormat/>
    <w:uiPriority w:val="9"/>
    <w:pPr>
      <w:keepNext/>
      <w:keepLines/>
      <w:spacing w:before="260" w:after="260" w:line="416" w:lineRule="atLeast"/>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ind w:firstLine="556"/>
    </w:pPr>
    <w:rPr>
      <w:rFonts w:cs="仿宋_GB2312"/>
      <w:kern w:val="0"/>
    </w:rPr>
  </w:style>
  <w:style w:type="paragraph" w:styleId="4">
    <w:name w:val="index 6"/>
    <w:basedOn w:val="1"/>
    <w:next w:val="1"/>
    <w:autoRedefine/>
    <w:qFormat/>
    <w:uiPriority w:val="0"/>
    <w:pPr>
      <w:spacing w:line="540" w:lineRule="exact"/>
      <w:ind w:firstLine="640" w:firstLineChars="200"/>
    </w:pPr>
    <w:rPr>
      <w:rFonts w:ascii="仿宋_GB2312" w:hAnsi="仿宋_GB2312" w:eastAsia="仿宋_GB2312" w:cs="仿宋_GB2312"/>
      <w:sz w:val="32"/>
      <w:szCs w:val="32"/>
    </w:rPr>
  </w:style>
  <w:style w:type="paragraph" w:styleId="5">
    <w:name w:val="Body Text"/>
    <w:basedOn w:val="1"/>
    <w:next w:val="1"/>
    <w:autoRedefine/>
    <w:qFormat/>
    <w:uiPriority w:val="99"/>
    <w:pPr>
      <w:spacing w:after="120"/>
    </w:pPr>
    <w:rPr>
      <w:rFonts w:eastAsia="仿宋_GB2312"/>
      <w:sz w:val="32"/>
    </w:rPr>
  </w:style>
  <w:style w:type="paragraph" w:styleId="6">
    <w:name w:val="Body Text Indent"/>
    <w:basedOn w:val="1"/>
    <w:autoRedefine/>
    <w:qFormat/>
    <w:uiPriority w:val="0"/>
    <w:pPr>
      <w:adjustRightInd w:val="0"/>
      <w:snapToGrid w:val="0"/>
      <w:spacing w:line="560" w:lineRule="atLeast"/>
      <w:ind w:firstLine="640" w:firstLineChars="200"/>
    </w:pPr>
    <w:rPr>
      <w:kern w:val="0"/>
      <w:szCs w:val="28"/>
    </w:rPr>
  </w:style>
  <w:style w:type="paragraph" w:styleId="7">
    <w:name w:val="Body Text Indent 2"/>
    <w:basedOn w:val="1"/>
    <w:next w:val="5"/>
    <w:autoRedefine/>
    <w:unhideWhenUsed/>
    <w:qFormat/>
    <w:uiPriority w:val="99"/>
    <w:pPr>
      <w:spacing w:after="120" w:afterLines="0" w:line="480" w:lineRule="auto"/>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Times New Roman" w:hAnsi="Times New Roman"/>
      <w:sz w:val="18"/>
    </w:rPr>
  </w:style>
  <w:style w:type="paragraph" w:styleId="10">
    <w:name w:val="Normal (Web)"/>
    <w:basedOn w:val="1"/>
    <w:autoRedefine/>
    <w:qFormat/>
    <w:uiPriority w:val="0"/>
    <w:pPr>
      <w:spacing w:before="0" w:beforeAutospacing="0" w:after="0" w:afterAutospacing="0"/>
      <w:ind w:left="0" w:right="0"/>
      <w:jc w:val="left"/>
    </w:pPr>
    <w:rPr>
      <w:kern w:val="0"/>
      <w:sz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eastAsia="宋体"/>
      <w:b/>
      <w:bCs/>
      <w:kern w:val="0"/>
      <w:szCs w:val="3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autoRedefine/>
    <w:qFormat/>
    <w:uiPriority w:val="0"/>
    <w:rPr>
      <w:color w:val="444444"/>
      <w:u w:val="none"/>
    </w:rPr>
  </w:style>
  <w:style w:type="character" w:styleId="16">
    <w:name w:val="Emphasis"/>
    <w:basedOn w:val="14"/>
    <w:autoRedefine/>
    <w:qFormat/>
    <w:uiPriority w:val="0"/>
  </w:style>
  <w:style w:type="character" w:styleId="17">
    <w:name w:val="Hyperlink"/>
    <w:basedOn w:val="14"/>
    <w:autoRedefine/>
    <w:qFormat/>
    <w:uiPriority w:val="0"/>
    <w:rPr>
      <w:color w:val="444444"/>
      <w:u w:val="none"/>
    </w:rPr>
  </w:style>
  <w:style w:type="character" w:styleId="18">
    <w:name w:val="HTML Cite"/>
    <w:basedOn w:val="14"/>
    <w:autoRedefine/>
    <w:qFormat/>
    <w:uiPriority w:val="0"/>
    <w:rPr>
      <w:i/>
    </w:rPr>
  </w:style>
  <w:style w:type="paragraph" w:customStyle="1" w:styleId="19">
    <w:name w:val="办公自动化专用标题"/>
    <w:basedOn w:val="11"/>
    <w:autoRedefine/>
    <w:qFormat/>
    <w:uiPriority w:val="0"/>
    <w:pPr>
      <w:spacing w:line="560" w:lineRule="atLeast"/>
    </w:pPr>
    <w:rPr>
      <w:rFonts w:ascii="宋体" w:hAnsi="Arial" w:cs="Times New Roman"/>
      <w:bCs w:val="0"/>
      <w:sz w:val="44"/>
      <w:szCs w:val="20"/>
    </w:rPr>
  </w:style>
  <w:style w:type="character" w:customStyle="1" w:styleId="20">
    <w:name w:val="hover11"/>
    <w:basedOn w:val="14"/>
    <w:autoRedefine/>
    <w:qFormat/>
    <w:uiPriority w:val="0"/>
  </w:style>
  <w:style w:type="paragraph" w:customStyle="1" w:styleId="21">
    <w:name w:val="闻政标题5"/>
    <w:basedOn w:val="1"/>
    <w:autoRedefine/>
    <w:qFormat/>
    <w:uiPriority w:val="0"/>
    <w:pPr>
      <w:spacing w:before="120" w:after="60"/>
    </w:pPr>
    <w:rPr>
      <w:b/>
      <w:kern w:val="0"/>
      <w:szCs w:val="28"/>
      <w:lang w:val="zh-CN"/>
    </w:rPr>
  </w:style>
  <w:style w:type="paragraph" w:customStyle="1" w:styleId="22">
    <w:name w:val="闻政正文"/>
    <w:basedOn w:val="1"/>
    <w:autoRedefine/>
    <w:qFormat/>
    <w:uiPriority w:val="0"/>
    <w:pPr>
      <w:ind w:firstLine="560"/>
    </w:pPr>
    <w:rPr>
      <w:kern w:val="0"/>
      <w:szCs w:val="28"/>
      <w:lang w:val="zh-CN"/>
    </w:rPr>
  </w:style>
  <w:style w:type="paragraph" w:customStyle="1" w:styleId="23">
    <w:name w:val="闻政标题3"/>
    <w:basedOn w:val="2"/>
    <w:autoRedefine/>
    <w:qFormat/>
    <w:uiPriority w:val="0"/>
    <w:pPr>
      <w:spacing w:before="120" w:after="60" w:line="500" w:lineRule="exact"/>
      <w:ind w:firstLine="0" w:firstLineChars="0"/>
      <w:jc w:val="left"/>
      <w:outlineLvl w:val="0"/>
    </w:pPr>
    <w:rPr>
      <w:rFonts w:ascii="黑体" w:hAnsi="黑体" w:eastAsia="黑体"/>
      <w:b w:val="0"/>
      <w:kern w:val="0"/>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3213</Words>
  <Characters>3532</Characters>
  <Lines>1</Lines>
  <Paragraphs>1</Paragraphs>
  <TotalTime>380</TotalTime>
  <ScaleCrop>false</ScaleCrop>
  <LinksUpToDate>false</LinksUpToDate>
  <CharactersWithSpaces>3533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2018-03-06T07:59:00Z</dcterms:created>
  <dc:creator>liulu</dc:creator>
  <cp:lastModifiedBy>张彤</cp:lastModifiedBy>
  <cp:lastPrinted>2025-03-17T06:38:00Z</cp:lastPrinted>
  <dcterms:modified xsi:type="dcterms:W3CDTF">2025-09-19T12:53:56Z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BD04005C943747EC9C05662D7D877B52_13</vt:lpwstr>
  </property>
  <property fmtid="{D5CDD505-2E9C-101B-9397-08002B2CF9AE}" pid="4" name="KSOTemplateDocerSaveRecord">
    <vt:lpwstr>eyJoZGlkIjoiZDgzYzQwZWY2Yjg2M2QwYTcwYmI4NzZmY2VmMDE0ZTciLCJ1c2VySWQiOiI5Mzc1OTYyNTgifQ==</vt:lpwstr>
  </property>
</Properties>
</file>