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E067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Arial" w:eastAsia="方正小标宋简体" w:cs="Arial"/>
          <w:sz w:val="44"/>
          <w:szCs w:val="44"/>
        </w:rPr>
      </w:pPr>
      <w:r>
        <w:rPr>
          <w:rFonts w:hint="eastAsia" w:ascii="方正小标宋简体" w:hAnsi="Arial" w:eastAsia="方正小标宋简体" w:cs="Arial"/>
          <w:sz w:val="44"/>
          <w:szCs w:val="44"/>
        </w:rPr>
        <w:t>部门整体</w:t>
      </w:r>
      <w:r>
        <w:rPr>
          <w:rFonts w:hint="eastAsia" w:ascii="方正小标宋简体" w:hAnsi="Arial" w:eastAsia="方正小标宋简体" w:cs="Arial"/>
          <w:sz w:val="44"/>
          <w:szCs w:val="44"/>
          <w:lang w:eastAsia="zh-CN"/>
        </w:rPr>
        <w:t>支出绩效</w:t>
      </w:r>
      <w:r>
        <w:rPr>
          <w:rFonts w:hint="eastAsia" w:ascii="方正小标宋简体" w:hAnsi="Arial" w:eastAsia="方正小标宋简体" w:cs="Arial"/>
          <w:sz w:val="44"/>
          <w:szCs w:val="44"/>
        </w:rPr>
        <w:t>自评报告</w:t>
      </w:r>
    </w:p>
    <w:p w14:paraId="0F12C3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color w:val="000000"/>
          <w:sz w:val="32"/>
        </w:rPr>
      </w:pPr>
      <w:r>
        <w:rPr>
          <w:rFonts w:hint="eastAsia" w:ascii="仿宋_GB2312"/>
          <w:color w:val="000000"/>
          <w:sz w:val="32"/>
        </w:rPr>
        <w:t>（</w:t>
      </w:r>
      <w:r>
        <w:rPr>
          <w:rFonts w:hint="eastAsia" w:ascii="仿宋_GB2312"/>
          <w:color w:val="000000"/>
          <w:sz w:val="32"/>
          <w:lang w:val="en-US" w:eastAsia="zh-CN"/>
        </w:rPr>
        <w:t>2024年度</w:t>
      </w:r>
      <w:r>
        <w:rPr>
          <w:rFonts w:hint="eastAsia" w:ascii="仿宋_GB2312"/>
          <w:color w:val="000000"/>
          <w:sz w:val="32"/>
        </w:rPr>
        <w:t>）</w:t>
      </w:r>
    </w:p>
    <w:p w14:paraId="69D8F432">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rPr>
          <w:rFonts w:ascii="黑体" w:hAnsi="黑体" w:eastAsia="黑体" w:cs="黑体"/>
          <w:bCs/>
          <w:sz w:val="32"/>
          <w:szCs w:val="32"/>
        </w:rPr>
      </w:pPr>
      <w:r>
        <w:rPr>
          <w:rFonts w:hint="eastAsia" w:ascii="黑体" w:hAnsi="黑体" w:eastAsia="黑体" w:cs="黑体"/>
          <w:bCs/>
          <w:sz w:val="32"/>
          <w:szCs w:val="32"/>
        </w:rPr>
        <w:t>一、基本情况</w:t>
      </w:r>
    </w:p>
    <w:p w14:paraId="43C2D8C8">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outlineLvl w:val="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（一）年度部门总目标及主要任务</w:t>
      </w:r>
    </w:p>
    <w:p w14:paraId="1986B89F">
      <w:pPr>
        <w:keepNext w:val="0"/>
        <w:keepLines w:val="0"/>
        <w:pageBreakBefore w:val="0"/>
        <w:widowControl w:val="0"/>
        <w:kinsoku/>
        <w:wordWrap/>
        <w:overflowPunct/>
        <w:topLinePunct w:val="0"/>
        <w:autoSpaceDE/>
        <w:autoSpaceDN/>
        <w:bidi w:val="0"/>
        <w:spacing w:line="560" w:lineRule="exact"/>
        <w:ind w:left="0" w:leftChars="0" w:firstLine="598" w:firstLineChars="200"/>
        <w:textAlignment w:val="auto"/>
        <w:rPr>
          <w:rFonts w:hint="default" w:ascii="仿宋_GB2312" w:eastAsia="仿宋_GB2312"/>
          <w:color w:val="000000"/>
          <w:sz w:val="32"/>
          <w:szCs w:val="32"/>
          <w:lang w:val="en-US" w:eastAsia="zh-CN"/>
        </w:rPr>
      </w:pPr>
      <w:r>
        <w:rPr>
          <w:rFonts w:hint="eastAsia" w:ascii="仿宋_GB2312"/>
          <w:color w:val="000000"/>
          <w:sz w:val="32"/>
          <w:szCs w:val="32"/>
          <w:lang w:val="en-US" w:eastAsia="zh-CN"/>
        </w:rPr>
        <w:t>年度总目标为坚持以习近平新时代中国特色社会主义思想为指导，</w:t>
      </w:r>
      <w:r>
        <w:rPr>
          <w:rFonts w:hint="eastAsia" w:ascii="仿宋_GB2312" w:hAnsi="仿宋_GB2312" w:eastAsia="仿宋_GB2312" w:cs="仿宋_GB2312"/>
          <w:b w:val="0"/>
          <w:kern w:val="0"/>
          <w:sz w:val="32"/>
          <w:szCs w:val="32"/>
          <w:lang w:val="zh-CN" w:eastAsia="zh-CN" w:bidi="ar-SA"/>
        </w:rPr>
        <w:t>贯彻</w:t>
      </w:r>
      <w:r>
        <w:rPr>
          <w:rFonts w:hint="eastAsia" w:ascii="仿宋_GB2312" w:hAnsi="仿宋_GB2312" w:cs="仿宋_GB2312"/>
          <w:b w:val="0"/>
          <w:kern w:val="0"/>
          <w:sz w:val="32"/>
          <w:szCs w:val="32"/>
          <w:lang w:val="en-US" w:eastAsia="zh-CN" w:bidi="ar-SA"/>
        </w:rPr>
        <w:t>执行</w:t>
      </w:r>
      <w:r>
        <w:rPr>
          <w:rFonts w:hint="eastAsia" w:ascii="仿宋_GB2312" w:hAnsi="仿宋_GB2312" w:eastAsia="仿宋_GB2312" w:cs="仿宋_GB2312"/>
          <w:b w:val="0"/>
          <w:kern w:val="0"/>
          <w:sz w:val="32"/>
          <w:szCs w:val="32"/>
          <w:lang w:val="zh-CN" w:eastAsia="zh-CN" w:bidi="ar-SA"/>
        </w:rPr>
        <w:t>国家的教育方针</w:t>
      </w:r>
      <w:r>
        <w:rPr>
          <w:rFonts w:hint="eastAsia" w:ascii="仿宋_GB2312" w:hAnsi="仿宋_GB2312" w:cs="仿宋_GB2312"/>
          <w:b w:val="0"/>
          <w:kern w:val="0"/>
          <w:sz w:val="32"/>
          <w:szCs w:val="32"/>
          <w:lang w:val="zh-CN" w:eastAsia="zh-CN" w:bidi="ar-SA"/>
        </w:rPr>
        <w:t>、</w:t>
      </w:r>
      <w:r>
        <w:rPr>
          <w:rFonts w:hint="eastAsia" w:ascii="仿宋_GB2312" w:hAnsi="仿宋_GB2312" w:cs="仿宋_GB2312"/>
          <w:b w:val="0"/>
          <w:kern w:val="0"/>
          <w:sz w:val="32"/>
          <w:szCs w:val="32"/>
          <w:lang w:val="en-US" w:eastAsia="zh-CN" w:bidi="ar-SA"/>
        </w:rPr>
        <w:t>政策</w:t>
      </w:r>
      <w:r>
        <w:rPr>
          <w:rFonts w:hint="eastAsia" w:ascii="仿宋_GB2312" w:hAnsi="仿宋_GB2312" w:eastAsia="仿宋_GB2312" w:cs="仿宋_GB2312"/>
          <w:b w:val="0"/>
          <w:kern w:val="0"/>
          <w:sz w:val="32"/>
          <w:szCs w:val="32"/>
          <w:lang w:val="zh-CN" w:eastAsia="zh-CN" w:bidi="ar-SA"/>
        </w:rPr>
        <w:t>，</w:t>
      </w:r>
      <w:r>
        <w:rPr>
          <w:rFonts w:hint="eastAsia" w:ascii="仿宋_GB2312" w:hAnsi="仿宋_GB2312" w:eastAsia="仿宋_GB2312" w:cs="仿宋_GB2312"/>
          <w:kern w:val="0"/>
          <w:sz w:val="32"/>
          <w:szCs w:val="32"/>
          <w:lang w:val="zh-CN" w:eastAsia="zh-CN" w:bidi="ar-SA"/>
        </w:rPr>
        <w:t>对</w:t>
      </w:r>
      <w:r>
        <w:rPr>
          <w:rFonts w:hint="eastAsia" w:ascii="仿宋_GB2312" w:hAnsi="仿宋_GB2312" w:cs="仿宋_GB2312"/>
          <w:kern w:val="0"/>
          <w:sz w:val="32"/>
          <w:szCs w:val="32"/>
          <w:lang w:val="zh-CN" w:eastAsia="zh-CN" w:bidi="ar-SA"/>
        </w:rPr>
        <w:t>所辖村（社区）</w:t>
      </w:r>
      <w:r>
        <w:rPr>
          <w:rFonts w:hint="eastAsia" w:ascii="仿宋_GB2312" w:hAnsi="仿宋_GB2312" w:eastAsia="仿宋_GB2312" w:cs="仿宋_GB2312"/>
          <w:kern w:val="0"/>
          <w:sz w:val="32"/>
          <w:szCs w:val="32"/>
          <w:lang w:val="zh-CN" w:eastAsia="zh-CN" w:bidi="ar-SA"/>
        </w:rPr>
        <w:t>适龄</w:t>
      </w:r>
      <w:r>
        <w:rPr>
          <w:rFonts w:hint="eastAsia" w:ascii="仿宋_GB2312" w:hAnsi="仿宋_GB2312" w:cs="仿宋_GB2312"/>
          <w:kern w:val="0"/>
          <w:sz w:val="32"/>
          <w:szCs w:val="32"/>
          <w:lang w:val="zh-CN" w:eastAsia="zh-CN" w:bidi="ar-SA"/>
        </w:rPr>
        <w:t>幼儿</w:t>
      </w:r>
      <w:r>
        <w:rPr>
          <w:rFonts w:hint="eastAsia" w:ascii="仿宋_GB2312" w:hAnsi="仿宋_GB2312" w:eastAsia="仿宋_GB2312" w:cs="仿宋_GB2312"/>
          <w:kern w:val="0"/>
          <w:sz w:val="32"/>
          <w:szCs w:val="32"/>
          <w:lang w:val="zh-CN" w:eastAsia="zh-CN" w:bidi="ar-SA"/>
        </w:rPr>
        <w:t>普及</w:t>
      </w:r>
      <w:r>
        <w:rPr>
          <w:rFonts w:hint="eastAsia" w:ascii="仿宋_GB2312" w:hAnsi="仿宋_GB2312" w:cs="仿宋_GB2312"/>
          <w:kern w:val="0"/>
          <w:sz w:val="32"/>
          <w:szCs w:val="32"/>
          <w:lang w:val="zh-CN" w:eastAsia="zh-CN" w:bidi="ar-SA"/>
        </w:rPr>
        <w:t>学前</w:t>
      </w:r>
      <w:r>
        <w:rPr>
          <w:rFonts w:hint="eastAsia" w:ascii="仿宋_GB2312" w:hAnsi="仿宋_GB2312" w:eastAsia="仿宋_GB2312" w:cs="仿宋_GB2312"/>
          <w:kern w:val="0"/>
          <w:sz w:val="32"/>
          <w:szCs w:val="32"/>
          <w:lang w:val="zh-CN" w:eastAsia="zh-CN" w:bidi="ar-SA"/>
        </w:rPr>
        <w:t>教育</w:t>
      </w:r>
      <w:r>
        <w:rPr>
          <w:rFonts w:hint="eastAsia" w:ascii="仿宋_GB2312" w:hAnsi="仿宋_GB2312" w:cs="仿宋_GB2312"/>
          <w:kern w:val="0"/>
          <w:sz w:val="32"/>
          <w:szCs w:val="32"/>
          <w:lang w:val="zh-CN" w:eastAsia="zh-CN" w:bidi="ar-SA"/>
        </w:rPr>
        <w:t>，</w:t>
      </w:r>
      <w:r>
        <w:rPr>
          <w:rFonts w:hint="eastAsia" w:ascii="仿宋_GB2312" w:hAnsi="仿宋_GB2312" w:cs="仿宋_GB2312"/>
          <w:kern w:val="0"/>
          <w:sz w:val="32"/>
          <w:szCs w:val="32"/>
          <w:lang w:val="en-US" w:eastAsia="zh-CN" w:bidi="ar-SA"/>
        </w:rPr>
        <w:t>对教师的工作进行指导、检查、评估、考核。</w:t>
      </w:r>
      <w:r>
        <w:rPr>
          <w:rFonts w:hint="eastAsia" w:ascii="仿宋_GB2312"/>
          <w:color w:val="000000"/>
          <w:sz w:val="32"/>
          <w:szCs w:val="32"/>
          <w:lang w:val="en-US" w:eastAsia="zh-CN"/>
        </w:rPr>
        <w:t>为幼儿提供优质学前教育服务，促进幼儿全面发展，打造家长满意、社会认可的幼儿园。</w:t>
      </w:r>
    </w:p>
    <w:p w14:paraId="32E7BF0B">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outlineLvl w:val="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（二）年度部门整体预算绩效目标、绩效指标设定情况</w:t>
      </w:r>
    </w:p>
    <w:p w14:paraId="03CCDB4B">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outlineLvl w:val="0"/>
        <w:rPr>
          <w:rFonts w:hint="default" w:ascii="仿宋_GB2312"/>
          <w:color w:val="000000"/>
          <w:sz w:val="32"/>
          <w:szCs w:val="32"/>
          <w:lang w:val="en-US" w:eastAsia="zh-CN"/>
        </w:rPr>
      </w:pPr>
      <w:r>
        <w:rPr>
          <w:rFonts w:hint="eastAsia" w:ascii="仿宋_GB2312"/>
          <w:color w:val="000000"/>
          <w:sz w:val="32"/>
          <w:szCs w:val="32"/>
          <w:lang w:val="en-US" w:eastAsia="zh-CN"/>
        </w:rPr>
        <w:t>年度部门整体预算绩效目标：一是保障教职工工资按时足额发放，及时上缴各项社保缴费，增强教职工幸福感和获得感。二是完善教学设施与环境，保障幼儿园正常运行，提升办园水平。三是加强教师培训，提升教师专业素养。</w:t>
      </w:r>
    </w:p>
    <w:p w14:paraId="12D1F1CE">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outlineLvl w:val="0"/>
        <w:rPr>
          <w:rFonts w:hint="default" w:ascii="仿宋_GB2312" w:eastAsia="仿宋_GB2312"/>
          <w:color w:val="000000"/>
          <w:sz w:val="32"/>
          <w:szCs w:val="32"/>
          <w:lang w:val="en-US" w:eastAsia="zh-CN"/>
        </w:rPr>
      </w:pPr>
      <w:r>
        <w:rPr>
          <w:rFonts w:hint="eastAsia" w:ascii="仿宋_GB2312"/>
          <w:color w:val="000000"/>
          <w:sz w:val="32"/>
          <w:szCs w:val="32"/>
          <w:lang w:val="en-US" w:eastAsia="zh-CN"/>
        </w:rPr>
        <w:t>绩效指标设定情况：设定一级指标3个：部门管理、履职效果、能力建设；二级指标13个，三级指标22个。</w:t>
      </w:r>
    </w:p>
    <w:p w14:paraId="3A6B66AE">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rPr>
          <w:rFonts w:ascii="黑体" w:hAnsi="黑体" w:eastAsia="黑体" w:cs="黑体"/>
          <w:bCs/>
          <w:sz w:val="32"/>
          <w:szCs w:val="32"/>
        </w:rPr>
      </w:pPr>
      <w:r>
        <w:rPr>
          <w:rFonts w:hint="eastAsia" w:ascii="黑体" w:hAnsi="黑体" w:eastAsia="黑体" w:cs="黑体"/>
          <w:bCs/>
          <w:sz w:val="32"/>
          <w:szCs w:val="32"/>
        </w:rPr>
        <w:t>二、绩效自评工作开展情况</w:t>
      </w:r>
    </w:p>
    <w:p w14:paraId="7E48BE84">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598" w:firstLineChars="200"/>
        <w:textAlignment w:val="auto"/>
        <w:rPr>
          <w:rFonts w:hint="default"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接到《临泽县财政局关于开展2024年度财政支出绩效自评工作的通知</w:t>
      </w:r>
      <w:r>
        <w:rPr>
          <w:rFonts w:hint="eastAsia" w:ascii="仿宋_GB2312" w:hAnsi="Times New Roman" w:cs="Times New Roman"/>
          <w:color w:val="000000"/>
          <w:kern w:val="2"/>
          <w:sz w:val="32"/>
          <w:szCs w:val="32"/>
          <w:lang w:val="en-US" w:eastAsia="zh-CN" w:bidi="ar-SA"/>
        </w:rPr>
        <w:t>》后，</w:t>
      </w:r>
      <w:r>
        <w:rPr>
          <w:rFonts w:hint="eastAsia" w:ascii="仿宋_GB2312" w:hAnsi="Times New Roman" w:eastAsia="仿宋_GB2312" w:cs="Times New Roman"/>
          <w:color w:val="000000"/>
          <w:kern w:val="2"/>
          <w:sz w:val="32"/>
          <w:szCs w:val="32"/>
          <w:lang w:val="en-US" w:eastAsia="zh-CN" w:bidi="ar-SA"/>
        </w:rPr>
        <w:t>我单位</w:t>
      </w:r>
      <w:r>
        <w:rPr>
          <w:rFonts w:hint="eastAsia" w:ascii="仿宋_GB2312" w:hAnsi="Times New Roman" w:cs="Times New Roman"/>
          <w:color w:val="000000"/>
          <w:kern w:val="2"/>
          <w:sz w:val="32"/>
          <w:szCs w:val="32"/>
          <w:lang w:val="en-US" w:eastAsia="zh-CN" w:bidi="ar-SA"/>
        </w:rPr>
        <w:t>通过收集财务报表、班级教学考核资料等基础数据和实地检查教学设施，观察各班级教学活动开展，核实相关情况，确保自评依据充分。</w:t>
      </w:r>
    </w:p>
    <w:p w14:paraId="31E7559F">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三、综合评价结论</w:t>
      </w:r>
    </w:p>
    <w:p w14:paraId="07E886BC">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rPr>
          <w:rFonts w:hint="default" w:ascii="仿宋_GB2312" w:hAnsi="仿宋_GB2312" w:eastAsia="黑体" w:cs="仿宋_GB2312"/>
          <w:bCs/>
          <w:sz w:val="32"/>
          <w:szCs w:val="32"/>
          <w:lang w:val="en-US" w:eastAsia="zh-CN"/>
        </w:rPr>
      </w:pPr>
      <w:r>
        <w:rPr>
          <w:rFonts w:hint="eastAsia" w:ascii="仿宋_GB2312" w:hAnsi="Times New Roman" w:cs="Times New Roman"/>
          <w:sz w:val="32"/>
          <w:szCs w:val="32"/>
          <w:lang w:val="en-US" w:eastAsia="zh-CN"/>
        </w:rPr>
        <w:t>经综合评价，本部门整体支出绩效得分95.52分。其中，部门管理满分20分，得分19分，履职效果满分60分，得分57.52分，能力建设满分10分，得分9.01分。</w:t>
      </w:r>
    </w:p>
    <w:p w14:paraId="38FA566B">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rPr>
          <w:rFonts w:ascii="黑体" w:hAnsi="黑体" w:eastAsia="黑体" w:cs="黑体"/>
          <w:bCs/>
          <w:sz w:val="32"/>
          <w:szCs w:val="32"/>
        </w:rPr>
      </w:pPr>
      <w:r>
        <w:rPr>
          <w:rFonts w:hint="eastAsia" w:ascii="黑体" w:hAnsi="黑体" w:eastAsia="黑体" w:cs="黑体"/>
          <w:bCs/>
          <w:sz w:val="32"/>
          <w:szCs w:val="32"/>
        </w:rPr>
        <w:t>四、绩效目标实现情况分析</w:t>
      </w:r>
    </w:p>
    <w:p w14:paraId="595AF784">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outlineLvl w:val="0"/>
        <w:rPr>
          <w:rFonts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（一）部门资金情况分析</w:t>
      </w:r>
    </w:p>
    <w:p w14:paraId="34AE4268">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rPr>
          <w:rFonts w:hint="default" w:ascii="仿宋_GB2312" w:eastAsia="仿宋_GB2312"/>
          <w:sz w:val="32"/>
          <w:szCs w:val="32"/>
          <w:lang w:val="en-US" w:eastAsia="zh-CN"/>
        </w:rPr>
      </w:pPr>
      <w:r>
        <w:rPr>
          <w:rFonts w:hint="eastAsia" w:ascii="仿宋_GB2312"/>
          <w:b/>
          <w:bCs/>
          <w:sz w:val="32"/>
          <w:szCs w:val="32"/>
        </w:rPr>
        <w:t>资金到位情况</w:t>
      </w:r>
      <w:r>
        <w:rPr>
          <w:rFonts w:hint="eastAsia" w:ascii="仿宋_GB2312"/>
          <w:b/>
          <w:bCs/>
          <w:sz w:val="32"/>
          <w:szCs w:val="32"/>
          <w:lang w:eastAsia="zh-CN"/>
        </w:rPr>
        <w:t>：</w:t>
      </w:r>
      <w:r>
        <w:rPr>
          <w:rFonts w:hint="eastAsia" w:ascii="仿宋_GB2312"/>
          <w:sz w:val="32"/>
          <w:szCs w:val="32"/>
          <w:lang w:val="en-US" w:eastAsia="zh-CN"/>
        </w:rPr>
        <w:t>2024年全年预算资金740.64万元，实际到位资金740.64万元，到位率100%。</w:t>
      </w:r>
    </w:p>
    <w:p w14:paraId="4E2F6154">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rPr>
          <w:rFonts w:hint="default" w:ascii="仿宋_GB2312"/>
          <w:sz w:val="32"/>
          <w:szCs w:val="32"/>
          <w:lang w:val="en-US" w:eastAsia="zh-CN"/>
        </w:rPr>
      </w:pPr>
      <w:r>
        <w:rPr>
          <w:rFonts w:hint="eastAsia" w:ascii="仿宋_GB2312"/>
          <w:b/>
          <w:bCs/>
          <w:sz w:val="32"/>
          <w:szCs w:val="32"/>
        </w:rPr>
        <w:t>资金执行情况</w:t>
      </w:r>
      <w:r>
        <w:rPr>
          <w:rFonts w:hint="eastAsia" w:ascii="仿宋_GB2312"/>
          <w:b/>
          <w:bCs/>
          <w:sz w:val="32"/>
          <w:szCs w:val="32"/>
          <w:lang w:eastAsia="zh-CN"/>
        </w:rPr>
        <w:t>：</w:t>
      </w:r>
      <w:r>
        <w:rPr>
          <w:rFonts w:hint="eastAsia" w:ascii="仿宋_GB2312"/>
          <w:sz w:val="32"/>
          <w:szCs w:val="32"/>
          <w:lang w:val="en-US" w:eastAsia="zh-CN"/>
        </w:rPr>
        <w:t>2024年预算执行740.13万元，资金执行率为99.93%，主要用于教师薪酬、幼儿园建设、教学办公设施设备采购、教学用品购置等。</w:t>
      </w:r>
    </w:p>
    <w:p w14:paraId="12347421">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rPr>
          <w:rFonts w:hint="default" w:ascii="仿宋_GB2312" w:eastAsia="仿宋_GB2312"/>
          <w:sz w:val="32"/>
          <w:szCs w:val="32"/>
          <w:lang w:val="en-US" w:eastAsia="zh-CN"/>
        </w:rPr>
      </w:pPr>
      <w:r>
        <w:rPr>
          <w:rFonts w:hint="eastAsia" w:ascii="仿宋_GB2312"/>
          <w:b/>
          <w:bCs/>
          <w:sz w:val="32"/>
          <w:szCs w:val="32"/>
        </w:rPr>
        <w:t>资金管理情况</w:t>
      </w:r>
      <w:r>
        <w:rPr>
          <w:rFonts w:hint="eastAsia" w:ascii="仿宋_GB2312"/>
          <w:b/>
          <w:bCs/>
          <w:sz w:val="32"/>
          <w:szCs w:val="32"/>
          <w:lang w:eastAsia="zh-CN"/>
        </w:rPr>
        <w:t>：</w:t>
      </w:r>
      <w:r>
        <w:rPr>
          <w:rFonts w:hint="eastAsia" w:ascii="仿宋_GB2312"/>
          <w:sz w:val="32"/>
          <w:szCs w:val="32"/>
          <w:lang w:val="en-US" w:eastAsia="zh-CN"/>
        </w:rPr>
        <w:t>严格执行各项财务管理制度，资金使用合规。</w:t>
      </w:r>
    </w:p>
    <w:p w14:paraId="4891DBBF">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outlineLvl w:val="0"/>
        <w:rPr>
          <w:rFonts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（二）项目绩效指标完成情况分析</w:t>
      </w:r>
    </w:p>
    <w:p w14:paraId="0AD7F2A0">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rPr>
          <w:rFonts w:ascii="仿宋_GB2312"/>
          <w:b/>
          <w:bCs/>
          <w:sz w:val="32"/>
          <w:szCs w:val="32"/>
        </w:rPr>
      </w:pPr>
      <w:r>
        <w:rPr>
          <w:rFonts w:hint="eastAsia" w:ascii="仿宋_GB2312"/>
          <w:b/>
          <w:bCs/>
          <w:sz w:val="32"/>
          <w:szCs w:val="32"/>
        </w:rPr>
        <w:t>1.投入管理指标</w:t>
      </w:r>
      <w:r>
        <w:rPr>
          <w:rFonts w:ascii="仿宋_GB2312"/>
          <w:b/>
          <w:bCs/>
          <w:sz w:val="32"/>
          <w:szCs w:val="32"/>
        </w:rPr>
        <w:t>完成</w:t>
      </w:r>
      <w:r>
        <w:rPr>
          <w:rFonts w:hint="eastAsia" w:ascii="仿宋_GB2312"/>
          <w:b/>
          <w:bCs/>
          <w:sz w:val="32"/>
          <w:szCs w:val="32"/>
        </w:rPr>
        <w:t>情况分析</w:t>
      </w:r>
    </w:p>
    <w:p w14:paraId="76740652">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rPr>
          <w:rFonts w:hint="eastAsia" w:ascii="仿宋_GB2312"/>
          <w:sz w:val="32"/>
          <w:szCs w:val="32"/>
          <w:lang w:val="en-US" w:eastAsia="zh-CN"/>
        </w:rPr>
      </w:pPr>
      <w:r>
        <w:rPr>
          <w:rFonts w:hint="eastAsia" w:ascii="仿宋_GB2312"/>
          <w:sz w:val="32"/>
          <w:szCs w:val="32"/>
        </w:rPr>
        <w:t>工作目标</w:t>
      </w:r>
      <w:r>
        <w:rPr>
          <w:rFonts w:ascii="仿宋_GB2312"/>
          <w:sz w:val="32"/>
          <w:szCs w:val="32"/>
        </w:rPr>
        <w:t>完成情况</w:t>
      </w:r>
      <w:r>
        <w:rPr>
          <w:rFonts w:hint="eastAsia" w:ascii="仿宋_GB2312"/>
          <w:sz w:val="32"/>
          <w:szCs w:val="32"/>
          <w:lang w:eastAsia="zh-CN"/>
        </w:rPr>
        <w:t>：</w:t>
      </w:r>
      <w:r>
        <w:rPr>
          <w:rFonts w:hint="eastAsia" w:ascii="仿宋_GB2312"/>
          <w:sz w:val="32"/>
          <w:szCs w:val="32"/>
          <w:lang w:val="en-US" w:eastAsia="zh-CN"/>
        </w:rPr>
        <w:t>工作目标基本完成，财务管理严格按照制度执行，绩效管理流程逐步完善。</w:t>
      </w:r>
    </w:p>
    <w:p w14:paraId="0A13E193">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rPr>
          <w:rFonts w:hint="eastAsia" w:ascii="仿宋_GB2312"/>
          <w:sz w:val="32"/>
          <w:szCs w:val="32"/>
          <w:lang w:val="en-US" w:eastAsia="zh-CN"/>
        </w:rPr>
      </w:pPr>
      <w:r>
        <w:rPr>
          <w:rFonts w:hint="eastAsia" w:ascii="仿宋_GB2312"/>
          <w:sz w:val="32"/>
          <w:szCs w:val="32"/>
        </w:rPr>
        <w:t>预算和财务管理完成情况</w:t>
      </w:r>
      <w:r>
        <w:rPr>
          <w:rFonts w:hint="eastAsia" w:ascii="仿宋_GB2312"/>
          <w:sz w:val="32"/>
          <w:szCs w:val="32"/>
          <w:lang w:eastAsia="zh-CN"/>
        </w:rPr>
        <w:t>：</w:t>
      </w:r>
      <w:r>
        <w:rPr>
          <w:rFonts w:hint="eastAsia" w:ascii="仿宋_GB2312"/>
          <w:sz w:val="32"/>
          <w:szCs w:val="32"/>
          <w:lang w:val="en-US" w:eastAsia="zh-CN"/>
        </w:rPr>
        <w:t>严格按预算执行，各项收支清晰，财务管理规范。</w:t>
      </w:r>
    </w:p>
    <w:p w14:paraId="2979C5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98" w:firstLineChars="200"/>
        <w:textAlignment w:val="auto"/>
        <w:rPr>
          <w:rFonts w:hint="default"/>
          <w:sz w:val="32"/>
          <w:szCs w:val="32"/>
          <w:lang w:val="en-US" w:eastAsia="zh-CN"/>
        </w:rPr>
      </w:pPr>
      <w:r>
        <w:rPr>
          <w:rFonts w:hint="eastAsia" w:ascii="仿宋_GB2312"/>
          <w:sz w:val="32"/>
          <w:szCs w:val="32"/>
        </w:rPr>
        <w:t>绩效管理完成</w:t>
      </w:r>
      <w:r>
        <w:rPr>
          <w:rFonts w:ascii="仿宋_GB2312"/>
          <w:sz w:val="32"/>
          <w:szCs w:val="32"/>
        </w:rPr>
        <w:t>情况</w:t>
      </w:r>
      <w:r>
        <w:rPr>
          <w:rFonts w:hint="eastAsia" w:ascii="仿宋_GB2312"/>
          <w:sz w:val="32"/>
          <w:szCs w:val="32"/>
          <w:lang w:eastAsia="zh-CN"/>
        </w:rPr>
        <w:t>：</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我园</w:t>
      </w:r>
      <w:r>
        <w:rPr>
          <w:rFonts w:hint="eastAsia" w:ascii="仿宋_GB2312" w:hAnsi="仿宋_GB2312" w:eastAsia="仿宋_GB2312" w:cs="仿宋_GB2312"/>
          <w:sz w:val="32"/>
          <w:szCs w:val="32"/>
          <w:lang w:val="en-US" w:eastAsia="zh-CN"/>
        </w:rPr>
        <w:t>努力做好财政预算、支出以及各项目的管理工作，</w:t>
      </w:r>
      <w:r>
        <w:rPr>
          <w:rFonts w:hint="default"/>
          <w:sz w:val="32"/>
          <w:szCs w:val="32"/>
          <w:lang w:val="en-US" w:eastAsia="zh-CN"/>
        </w:rPr>
        <w:t>以达到合理高效地运用资金、提升资金的产出效果、节约成本与资源、提高部门的办事效率。在部门预算整体支出绩效方面按规定严格执行，合理安排支出，使财政资金发挥出最大的效益。</w:t>
      </w:r>
    </w:p>
    <w:p w14:paraId="61950E58">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outlineLvl w:val="0"/>
        <w:rPr>
          <w:rFonts w:ascii="仿宋_GB2312"/>
          <w:b/>
          <w:bCs/>
          <w:sz w:val="32"/>
          <w:szCs w:val="32"/>
        </w:rPr>
      </w:pPr>
      <w:r>
        <w:rPr>
          <w:rFonts w:hint="eastAsia" w:ascii="仿宋_GB2312"/>
          <w:b/>
          <w:bCs/>
          <w:sz w:val="32"/>
          <w:szCs w:val="32"/>
        </w:rPr>
        <w:t>2.产出指标完成情况分析</w:t>
      </w:r>
    </w:p>
    <w:p w14:paraId="4C0E6492">
      <w:pPr>
        <w:keepNext w:val="0"/>
        <w:keepLines w:val="0"/>
        <w:pageBreakBefore w:val="0"/>
        <w:widowControl w:val="0"/>
        <w:suppressLineNumbers w:val="0"/>
        <w:kinsoku/>
        <w:wordWrap/>
        <w:overflowPunct/>
        <w:topLinePunct w:val="0"/>
        <w:autoSpaceDE/>
        <w:autoSpaceDN/>
        <w:bidi w:val="0"/>
        <w:spacing w:before="0" w:beforeAutospacing="0" w:afterAutospacing="0" w:line="560" w:lineRule="exact"/>
        <w:ind w:left="0" w:leftChars="0" w:right="0" w:firstLine="598" w:firstLineChars="200"/>
        <w:jc w:val="both"/>
        <w:textAlignment w:val="auto"/>
        <w:rPr>
          <w:rFonts w:hint="default"/>
          <w:sz w:val="32"/>
          <w:szCs w:val="32"/>
          <w:lang w:val="en-US"/>
        </w:rPr>
      </w:pPr>
      <w:r>
        <w:rPr>
          <w:rFonts w:hint="eastAsia" w:ascii="仿宋_GB2312"/>
          <w:b/>
          <w:bCs/>
          <w:sz w:val="32"/>
          <w:szCs w:val="32"/>
        </w:rPr>
        <w:t>重点工作任务完成情况</w:t>
      </w:r>
      <w:r>
        <w:rPr>
          <w:rFonts w:hint="eastAsia" w:ascii="仿宋_GB2312"/>
          <w:b/>
          <w:bCs/>
          <w:sz w:val="32"/>
          <w:szCs w:val="32"/>
          <w:lang w:eastAsia="zh-CN"/>
        </w:rPr>
        <w:t>：</w:t>
      </w:r>
      <w:r>
        <w:rPr>
          <w:rFonts w:hint="eastAsia" w:ascii="仿宋_GB2312" w:cs="Times New Roman"/>
          <w:sz w:val="32"/>
          <w:szCs w:val="32"/>
          <w:lang w:val="en-US" w:eastAsia="zh-CN"/>
        </w:rPr>
        <w:t>一是</w:t>
      </w:r>
      <w:r>
        <w:rPr>
          <w:rFonts w:hint="eastAsia" w:ascii="仿宋_GB2312" w:hAnsi="Times New Roman" w:cs="Times New Roman"/>
          <w:sz w:val="32"/>
          <w:szCs w:val="32"/>
          <w:lang w:val="en-US" w:eastAsia="zh-CN"/>
        </w:rPr>
        <w:t>基本支出预算保障了我园年度正常工作目标的开展，项目预算目标明确；</w:t>
      </w:r>
      <w:r>
        <w:rPr>
          <w:rFonts w:hint="eastAsia" w:ascii="仿宋_GB2312" w:cs="Times New Roman"/>
          <w:sz w:val="32"/>
          <w:szCs w:val="32"/>
          <w:lang w:val="en-US" w:eastAsia="zh-CN"/>
        </w:rPr>
        <w:t>二是</w:t>
      </w:r>
      <w:r>
        <w:rPr>
          <w:rFonts w:hint="eastAsia" w:ascii="仿宋_GB2312" w:hAnsi="Times New Roman" w:cs="Times New Roman"/>
          <w:sz w:val="32"/>
          <w:szCs w:val="32"/>
          <w:lang w:val="en-US" w:eastAsia="zh-CN"/>
        </w:rPr>
        <w:t>扎</w:t>
      </w:r>
      <w:r>
        <w:rPr>
          <w:rFonts w:hint="eastAsia" w:ascii="仿宋_GB2312"/>
          <w:sz w:val="32"/>
          <w:szCs w:val="32"/>
          <w:lang w:val="en-US" w:eastAsia="zh-CN"/>
        </w:rPr>
        <w:t>实开展校本教研和多元化培训工作，教师保教水平提升明显；三是开展</w:t>
      </w:r>
      <w:r>
        <w:rPr>
          <w:rFonts w:hint="eastAsia" w:ascii="仿宋_GB2312" w:hAnsi="Calibri" w:eastAsia="仿宋_GB2312" w:cs="仿宋_GB2312"/>
          <w:b w:val="0"/>
          <w:bCs/>
          <w:color w:val="000000"/>
          <w:kern w:val="2"/>
          <w:sz w:val="32"/>
          <w:szCs w:val="32"/>
          <w:lang w:val="en-US" w:eastAsia="zh-CN" w:bidi="ar"/>
        </w:rPr>
        <w:t>体能大循环</w:t>
      </w:r>
      <w:r>
        <w:rPr>
          <w:rFonts w:hint="eastAsia" w:ascii="仿宋_GB2312" w:hAnsi="Calibri" w:cs="仿宋_GB2312"/>
          <w:b w:val="0"/>
          <w:bCs/>
          <w:color w:val="000000"/>
          <w:kern w:val="2"/>
          <w:sz w:val="32"/>
          <w:szCs w:val="32"/>
          <w:lang w:val="en-US" w:eastAsia="zh-CN" w:bidi="ar"/>
        </w:rPr>
        <w:t>、绘本阅读等各项活动</w:t>
      </w:r>
      <w:r>
        <w:rPr>
          <w:rFonts w:hint="eastAsia" w:ascii="仿宋_GB2312" w:hAnsi="Calibri" w:eastAsia="仿宋_GB2312" w:cs="仿宋_GB2312"/>
          <w:b w:val="0"/>
          <w:bCs/>
          <w:color w:val="000000"/>
          <w:kern w:val="2"/>
          <w:sz w:val="32"/>
          <w:szCs w:val="32"/>
          <w:lang w:val="en-US" w:eastAsia="zh-CN" w:bidi="ar"/>
        </w:rPr>
        <w:t>，增强</w:t>
      </w:r>
      <w:r>
        <w:rPr>
          <w:rFonts w:hint="eastAsia" w:ascii="仿宋_GB2312" w:hAnsi="Calibri" w:cs="仿宋_GB2312"/>
          <w:b w:val="0"/>
          <w:bCs/>
          <w:color w:val="000000"/>
          <w:kern w:val="2"/>
          <w:sz w:val="32"/>
          <w:szCs w:val="32"/>
          <w:lang w:val="en-US" w:eastAsia="zh-CN" w:bidi="ar"/>
        </w:rPr>
        <w:t>了</w:t>
      </w:r>
      <w:r>
        <w:rPr>
          <w:rFonts w:hint="eastAsia" w:ascii="仿宋_GB2312" w:hAnsi="Calibri" w:eastAsia="仿宋_GB2312" w:cs="仿宋_GB2312"/>
          <w:b w:val="0"/>
          <w:bCs/>
          <w:color w:val="000000"/>
          <w:kern w:val="2"/>
          <w:sz w:val="32"/>
          <w:szCs w:val="32"/>
          <w:lang w:val="en-US" w:eastAsia="zh-CN" w:bidi="ar"/>
        </w:rPr>
        <w:t>幼儿体质，</w:t>
      </w:r>
      <w:r>
        <w:rPr>
          <w:rFonts w:hint="eastAsia" w:ascii="仿宋_GB2312" w:hAnsi="Calibri" w:cs="仿宋_GB2312"/>
          <w:b w:val="0"/>
          <w:bCs/>
          <w:color w:val="000000"/>
          <w:kern w:val="2"/>
          <w:sz w:val="32"/>
          <w:szCs w:val="32"/>
          <w:lang w:val="en-US" w:eastAsia="zh-CN" w:bidi="ar"/>
        </w:rPr>
        <w:t>提高了幼儿语言表达能力和社会交往能力。本年幼儿园各项工作按计划全面完成。</w:t>
      </w:r>
    </w:p>
    <w:p w14:paraId="1A03483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598"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b/>
          <w:bCs/>
          <w:sz w:val="32"/>
          <w:szCs w:val="32"/>
        </w:rPr>
        <w:t>履职目标</w:t>
      </w:r>
      <w:r>
        <w:rPr>
          <w:rFonts w:hint="eastAsia" w:ascii="仿宋_GB2312"/>
          <w:b/>
          <w:bCs/>
          <w:sz w:val="32"/>
          <w:szCs w:val="32"/>
          <w:lang w:val="en-US" w:eastAsia="zh-CN"/>
        </w:rPr>
        <w:t>实现情况：</w:t>
      </w:r>
      <w:r>
        <w:rPr>
          <w:rFonts w:hint="eastAsia" w:ascii="仿宋_GB2312" w:hAnsi="仿宋_GB2312" w:eastAsia="仿宋_GB2312" w:cs="仿宋_GB2312"/>
          <w:color w:val="auto"/>
          <w:sz w:val="32"/>
          <w:szCs w:val="32"/>
          <w:lang w:val="en-US" w:eastAsia="zh-CN"/>
        </w:rPr>
        <w:t>宣传贯彻执行党和国家的教育方针、政策、法律法规，坚持依法治教、依法治学，</w:t>
      </w:r>
      <w:r>
        <w:rPr>
          <w:rFonts w:hint="eastAsia" w:ascii="仿宋_GB2312" w:hAnsi="仿宋_GB2312" w:cs="仿宋_GB2312"/>
          <w:color w:val="auto"/>
          <w:sz w:val="32"/>
          <w:szCs w:val="32"/>
          <w:lang w:val="en-US" w:eastAsia="zh-CN"/>
        </w:rPr>
        <w:t>根据幼儿园教育指导纲要，</w:t>
      </w:r>
      <w:r>
        <w:rPr>
          <w:rFonts w:hint="eastAsia" w:ascii="仿宋_GB2312" w:hAnsi="仿宋_GB2312" w:eastAsia="仿宋_GB2312" w:cs="仿宋_GB2312"/>
          <w:color w:val="auto"/>
          <w:sz w:val="32"/>
          <w:szCs w:val="32"/>
          <w:lang w:val="en-US" w:eastAsia="zh-CN"/>
        </w:rPr>
        <w:t>制</w:t>
      </w:r>
      <w:r>
        <w:rPr>
          <w:rFonts w:hint="eastAsia" w:ascii="仿宋_GB2312" w:hAnsi="仿宋_GB2312" w:cs="仿宋_GB2312"/>
          <w:color w:val="auto"/>
          <w:sz w:val="32"/>
          <w:szCs w:val="32"/>
          <w:lang w:val="en-US" w:eastAsia="zh-CN"/>
        </w:rPr>
        <w:t>订</w:t>
      </w:r>
      <w:r>
        <w:rPr>
          <w:rFonts w:hint="eastAsia" w:ascii="仿宋_GB2312" w:hAnsi="仿宋_GB2312" w:eastAsia="仿宋_GB2312" w:cs="仿宋_GB2312"/>
          <w:color w:val="auto"/>
          <w:sz w:val="32"/>
          <w:szCs w:val="32"/>
          <w:lang w:val="en-US" w:eastAsia="zh-CN"/>
        </w:rPr>
        <w:t>符合本园实际的教育发展规划，并抓好组织实施和落实工作；</w:t>
      </w:r>
    </w:p>
    <w:p w14:paraId="302D6961">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rPr>
          <w:rFonts w:hint="eastAsia" w:ascii="仿宋_GB2312" w:eastAsia="仿宋_GB2312"/>
          <w:b/>
          <w:bCs/>
          <w:sz w:val="32"/>
          <w:szCs w:val="32"/>
          <w:lang w:eastAsia="zh-CN"/>
        </w:rPr>
      </w:pPr>
      <w:r>
        <w:rPr>
          <w:rFonts w:ascii="仿宋_GB2312"/>
          <w:b/>
          <w:bCs/>
          <w:sz w:val="32"/>
          <w:szCs w:val="32"/>
        </w:rPr>
        <w:t>3</w:t>
      </w:r>
      <w:r>
        <w:rPr>
          <w:rFonts w:hint="eastAsia" w:ascii="仿宋_GB2312"/>
          <w:b/>
          <w:bCs/>
          <w:sz w:val="32"/>
          <w:szCs w:val="32"/>
        </w:rPr>
        <w:t>.效益指标完成情况分析</w:t>
      </w:r>
    </w:p>
    <w:p w14:paraId="5C980B24">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履职效益完成情况：按照要求及时完成了预决算公开；以提升幼儿园办园水平和教师保教专业素养以及幼儿全面发展为目标，抓教师教研、幼儿常规和各项活动管理，幼儿园工作任务全面完成。</w:t>
      </w:r>
    </w:p>
    <w:p w14:paraId="18823372">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598" w:firstLineChars="200"/>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满意度情况</w:t>
      </w:r>
      <w:r>
        <w:rPr>
          <w:rFonts w:hint="eastAsia" w:ascii="仿宋_GB2312" w:cs="Times New Roman"/>
          <w:kern w:val="2"/>
          <w:sz w:val="32"/>
          <w:szCs w:val="32"/>
          <w:lang w:val="en-US" w:eastAsia="zh-CN" w:bidi="ar-SA"/>
        </w:rPr>
        <w:t>：受益人群满意度达90%以上。</w:t>
      </w:r>
      <w:bookmarkStart w:id="0" w:name="_GoBack"/>
      <w:bookmarkEnd w:id="0"/>
    </w:p>
    <w:p w14:paraId="62069E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98"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发现的主要问题和改</w:t>
      </w:r>
      <w:r>
        <w:rPr>
          <w:rFonts w:hint="eastAsia" w:ascii="黑体" w:hAnsi="黑体" w:eastAsia="黑体" w:cs="黑体"/>
          <w:bCs/>
          <w:sz w:val="32"/>
          <w:szCs w:val="32"/>
          <w:lang w:eastAsia="zh"/>
        </w:rPr>
        <w:t>进</w:t>
      </w:r>
      <w:r>
        <w:rPr>
          <w:rFonts w:hint="eastAsia" w:ascii="黑体" w:hAnsi="黑体" w:eastAsia="黑体" w:cs="黑体"/>
          <w:bCs/>
          <w:sz w:val="32"/>
          <w:szCs w:val="32"/>
        </w:rPr>
        <w:t>措施</w:t>
      </w:r>
    </w:p>
    <w:p w14:paraId="33DB842A">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598"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本部门整体支出绩效目标完成总体情况较好，但还有部分工作未达到年初目标任务，主要表现为整体支出预算执行未达到年初目标任务。今后工作中我们将加强学习，增强财务人员的预算意识，进一步提高预算编制的准确性。严格按照预算的相关规定和要求来编制预算，确保预算的全面、科学；进一步完善预算开支的规范性。严格遵守各项资金支付的管理规定，加强财务管理，厉行节约，确保支付口径与预算口径的一致，从而有效的提高预算资金的使用效率。</w:t>
      </w:r>
    </w:p>
    <w:p w14:paraId="145558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98"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eastAsia="zh-CN"/>
        </w:rPr>
        <w:t>六、</w:t>
      </w:r>
      <w:r>
        <w:rPr>
          <w:rFonts w:hint="eastAsia" w:ascii="黑体" w:hAnsi="黑体" w:eastAsia="黑体" w:cs="黑体"/>
          <w:bCs/>
          <w:sz w:val="32"/>
          <w:szCs w:val="32"/>
        </w:rPr>
        <w:t>部门整体绩效自评结果拟应用和公开情况</w:t>
      </w:r>
    </w:p>
    <w:p w14:paraId="2F110D52">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598" w:firstLineChars="200"/>
        <w:textAlignment w:val="auto"/>
        <w:rPr>
          <w:rFonts w:hint="eastAsia"/>
          <w:sz w:val="32"/>
          <w:szCs w:val="32"/>
        </w:rPr>
      </w:pPr>
      <w:r>
        <w:rPr>
          <w:rFonts w:hint="eastAsia" w:ascii="仿宋_GB2312" w:hAnsi="Times New Roman" w:cs="Times New Roman"/>
          <w:kern w:val="2"/>
          <w:sz w:val="32"/>
          <w:szCs w:val="32"/>
          <w:lang w:val="en-US" w:eastAsia="zh-CN" w:bidi="ar-SA"/>
        </w:rPr>
        <w:t>财政支出绩效评价结果应用是深入开展绩效评价工作的基本前提，是增强资金绩效观念，加强财政支出管理，合理配置公共资源，优化财政支出结构，提高资金管理水平和使用效益的重要手段。为使绩效评价结果得到合理应用，我部门将绩效评价结果做为下年预算编制的依据，增强责任和效益观念，提高财政资金使用效果</w:t>
      </w:r>
      <w:r>
        <w:rPr>
          <w:rFonts w:hint="eastAsia" w:ascii="仿宋_GB2312" w:cs="Times New Roman"/>
          <w:kern w:val="2"/>
          <w:sz w:val="32"/>
          <w:szCs w:val="32"/>
          <w:lang w:val="en-US" w:eastAsia="zh-CN" w:bidi="ar-SA"/>
        </w:rPr>
        <w:t>。</w:t>
      </w:r>
      <w:r>
        <w:rPr>
          <w:rFonts w:hint="eastAsia" w:ascii="仿宋_GB2312" w:hAnsi="Times New Roman" w:cs="Times New Roman"/>
          <w:kern w:val="2"/>
          <w:sz w:val="32"/>
          <w:szCs w:val="32"/>
          <w:lang w:val="en-US" w:eastAsia="zh-CN" w:bidi="ar-SA"/>
        </w:rPr>
        <w:t>同时认真对绩效评价中发现的问题进行整改，严肃财经纪律</w:t>
      </w:r>
      <w:r>
        <w:rPr>
          <w:rFonts w:hint="eastAsia" w:ascii="仿宋_GB2312" w:cs="Times New Roman"/>
          <w:kern w:val="2"/>
          <w:sz w:val="32"/>
          <w:szCs w:val="32"/>
          <w:lang w:val="en-US" w:eastAsia="zh-CN" w:bidi="ar-SA"/>
        </w:rPr>
        <w:t>。</w:t>
      </w:r>
    </w:p>
    <w:p w14:paraId="42280C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98"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eastAsia="zh-CN"/>
        </w:rPr>
        <w:t>七、</w:t>
      </w:r>
      <w:r>
        <w:rPr>
          <w:rFonts w:hint="eastAsia" w:ascii="黑体" w:hAnsi="黑体" w:eastAsia="黑体" w:cs="黑体"/>
          <w:bCs/>
          <w:sz w:val="32"/>
          <w:szCs w:val="32"/>
        </w:rPr>
        <w:t>部门整体绩效自评工作的经验、问题和建议</w:t>
      </w:r>
    </w:p>
    <w:p w14:paraId="4295CC0C">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598" w:firstLineChars="200"/>
        <w:textAlignment w:val="auto"/>
        <w:rPr>
          <w:rFonts w:hint="eastAsia"/>
          <w:sz w:val="32"/>
          <w:szCs w:val="32"/>
        </w:rPr>
      </w:pPr>
      <w:r>
        <w:rPr>
          <w:rFonts w:hint="eastAsia"/>
          <w:sz w:val="32"/>
          <w:szCs w:val="32"/>
        </w:rPr>
        <w:t>一是加强领导、确保资金安全。幼儿园“三重一大”事项均通过园</w:t>
      </w:r>
      <w:r>
        <w:rPr>
          <w:rFonts w:hint="eastAsia"/>
          <w:sz w:val="32"/>
          <w:szCs w:val="32"/>
          <w:lang w:eastAsia="zh-CN"/>
        </w:rPr>
        <w:t>委</w:t>
      </w:r>
      <w:r>
        <w:rPr>
          <w:rFonts w:hint="eastAsia"/>
          <w:sz w:val="32"/>
          <w:szCs w:val="32"/>
        </w:rPr>
        <w:t>会、支</w:t>
      </w:r>
      <w:r>
        <w:rPr>
          <w:rFonts w:hint="eastAsia"/>
          <w:sz w:val="32"/>
          <w:szCs w:val="32"/>
          <w:lang w:eastAsia="zh-CN"/>
        </w:rPr>
        <w:t>委</w:t>
      </w:r>
      <w:r>
        <w:rPr>
          <w:rFonts w:hint="eastAsia"/>
          <w:sz w:val="32"/>
          <w:szCs w:val="32"/>
        </w:rPr>
        <w:t>会研究决定后方可实施；各项物品采购严格按照年初早报和预算规范使用资金，确保各项经费使用合法、合规。</w:t>
      </w:r>
    </w:p>
    <w:p w14:paraId="273EB51B">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598" w:firstLineChars="200"/>
        <w:textAlignment w:val="auto"/>
        <w:rPr>
          <w:rFonts w:hint="eastAsia" w:eastAsia="仿宋_GB2312"/>
          <w:sz w:val="32"/>
          <w:szCs w:val="32"/>
          <w:lang w:eastAsia="zh-CN"/>
        </w:rPr>
      </w:pPr>
      <w:r>
        <w:rPr>
          <w:rFonts w:hint="eastAsia"/>
          <w:sz w:val="32"/>
          <w:szCs w:val="32"/>
        </w:rPr>
        <w:t>二是厉行节约，规范程序。结合保教工作的开展，我园坚决执行厉行节约、反对浪费，严格执行资金支付和采购审核审批程序</w:t>
      </w:r>
      <w:r>
        <w:rPr>
          <w:rFonts w:hint="eastAsia"/>
          <w:sz w:val="32"/>
          <w:szCs w:val="32"/>
          <w:lang w:eastAsia="zh-CN"/>
        </w:rPr>
        <w:t>，</w:t>
      </w:r>
      <w:r>
        <w:rPr>
          <w:rFonts w:hint="eastAsia"/>
          <w:sz w:val="32"/>
          <w:szCs w:val="32"/>
        </w:rPr>
        <w:t>保证各项资金支出合法合规</w:t>
      </w:r>
      <w:r>
        <w:rPr>
          <w:rFonts w:hint="eastAsia"/>
          <w:sz w:val="32"/>
          <w:szCs w:val="32"/>
          <w:lang w:eastAsia="zh-CN"/>
        </w:rPr>
        <w:t>。</w:t>
      </w:r>
    </w:p>
    <w:p w14:paraId="57A87704">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rPr>
          <w:rFonts w:ascii="黑体" w:hAnsi="黑体" w:eastAsia="黑体" w:cs="黑体"/>
          <w:bCs/>
          <w:sz w:val="32"/>
          <w:szCs w:val="32"/>
        </w:rPr>
      </w:pPr>
      <w:r>
        <w:rPr>
          <w:rFonts w:hint="eastAsia" w:ascii="黑体" w:hAnsi="黑体" w:eastAsia="黑体" w:cs="黑体"/>
          <w:bCs/>
          <w:sz w:val="32"/>
          <w:szCs w:val="32"/>
        </w:rPr>
        <w:t>八、其他需要说明的问题</w:t>
      </w:r>
    </w:p>
    <w:p w14:paraId="26597918">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textAlignment w:val="auto"/>
        <w:rPr>
          <w:rFonts w:hint="eastAsia"/>
          <w:sz w:val="32"/>
          <w:szCs w:val="32"/>
          <w:lang w:val="en-US" w:eastAsia="zh-CN"/>
        </w:rPr>
      </w:pPr>
      <w:r>
        <w:rPr>
          <w:rFonts w:hint="eastAsia"/>
          <w:sz w:val="32"/>
          <w:szCs w:val="32"/>
          <w:lang w:val="en-US" w:eastAsia="zh-CN"/>
        </w:rPr>
        <w:t>无</w:t>
      </w:r>
    </w:p>
    <w:p w14:paraId="5782B9A7">
      <w:pPr>
        <w:pStyle w:val="2"/>
        <w:rPr>
          <w:rFonts w:hint="eastAsia"/>
          <w:sz w:val="32"/>
          <w:szCs w:val="32"/>
          <w:lang w:val="en-US" w:eastAsia="zh-CN"/>
        </w:rPr>
      </w:pPr>
    </w:p>
    <w:p w14:paraId="510B180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lang w:val="en-US" w:eastAsia="zh-CN"/>
        </w:rPr>
      </w:pPr>
      <w:r>
        <w:rPr>
          <w:rFonts w:hint="eastAsia"/>
          <w:sz w:val="32"/>
          <w:szCs w:val="32"/>
          <w:lang w:val="en-US" w:eastAsia="zh-CN"/>
        </w:rPr>
        <w:t xml:space="preserve">                                   临泽县西关幼儿园</w:t>
      </w:r>
    </w:p>
    <w:p w14:paraId="4D48890C">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32"/>
          <w:lang w:val="en-US" w:eastAsia="zh-CN"/>
        </w:rPr>
      </w:pPr>
      <w:r>
        <w:rPr>
          <w:rFonts w:hint="eastAsia"/>
          <w:sz w:val="32"/>
          <w:szCs w:val="32"/>
          <w:lang w:val="en-US" w:eastAsia="zh-CN"/>
        </w:rPr>
        <w:t xml:space="preserve">                                    2025年3月8日</w:t>
      </w:r>
    </w:p>
    <w:sectPr>
      <w:footerReference r:id="rId3" w:type="default"/>
      <w:footerReference r:id="rId4" w:type="even"/>
      <w:pgSz w:w="11906" w:h="16838"/>
      <w:pgMar w:top="1587" w:right="1417" w:bottom="1417" w:left="1587" w:header="851" w:footer="992" w:gutter="0"/>
      <w:pgNumType w:fmt="numberInDash"/>
      <w:cols w:space="0" w:num="1"/>
      <w:rtlGutter w:val="0"/>
      <w:docGrid w:type="linesAndChars" w:linePitch="606" w:charSpace="-44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1C5D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17E8FE">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517E8FE">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E7BD">
    <w:pPr>
      <w:pStyle w:val="5"/>
      <w:framePr w:wrap="around" w:vAnchor="text" w:hAnchor="margin" w:xAlign="center" w:y="1"/>
      <w:rPr>
        <w:rStyle w:val="10"/>
      </w:rPr>
    </w:pPr>
    <w:r>
      <w:fldChar w:fldCharType="begin"/>
    </w:r>
    <w:r>
      <w:rPr>
        <w:rStyle w:val="10"/>
      </w:rPr>
      <w:instrText xml:space="preserve">PAGE  </w:instrText>
    </w:r>
    <w:r>
      <w:fldChar w:fldCharType="end"/>
    </w:r>
  </w:p>
  <w:p w14:paraId="3835C2CB">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39"/>
  <w:drawingGridVerticalSpacing w:val="581"/>
  <w:displayHorizontalDrawingGridEvery w:val="2"/>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NjVhZmIyZTk2OGE2YWNjNWUyNTFjNzkwMzYxYTIifQ=="/>
  </w:docVars>
  <w:rsids>
    <w:rsidRoot w:val="00C945F1"/>
    <w:rsid w:val="000066F3"/>
    <w:rsid w:val="00007D3D"/>
    <w:rsid w:val="00014178"/>
    <w:rsid w:val="00023C41"/>
    <w:rsid w:val="00025AB1"/>
    <w:rsid w:val="00080926"/>
    <w:rsid w:val="000A50B1"/>
    <w:rsid w:val="000C561F"/>
    <w:rsid w:val="00107096"/>
    <w:rsid w:val="00174027"/>
    <w:rsid w:val="001D0FE8"/>
    <w:rsid w:val="00231F71"/>
    <w:rsid w:val="002329CA"/>
    <w:rsid w:val="002A1601"/>
    <w:rsid w:val="002B25B1"/>
    <w:rsid w:val="0035434B"/>
    <w:rsid w:val="00405AE2"/>
    <w:rsid w:val="00405C47"/>
    <w:rsid w:val="004E61B2"/>
    <w:rsid w:val="004E7817"/>
    <w:rsid w:val="005520A5"/>
    <w:rsid w:val="00595B97"/>
    <w:rsid w:val="005A1A96"/>
    <w:rsid w:val="005B6326"/>
    <w:rsid w:val="005D1DFC"/>
    <w:rsid w:val="005E263C"/>
    <w:rsid w:val="006E016F"/>
    <w:rsid w:val="00735765"/>
    <w:rsid w:val="0084038F"/>
    <w:rsid w:val="0086127D"/>
    <w:rsid w:val="008762B9"/>
    <w:rsid w:val="008F39C6"/>
    <w:rsid w:val="00994F70"/>
    <w:rsid w:val="00AA3097"/>
    <w:rsid w:val="00B06CC7"/>
    <w:rsid w:val="00B12614"/>
    <w:rsid w:val="00B40D97"/>
    <w:rsid w:val="00C47558"/>
    <w:rsid w:val="00C524E0"/>
    <w:rsid w:val="00C86B00"/>
    <w:rsid w:val="00C945F1"/>
    <w:rsid w:val="00CD4B0E"/>
    <w:rsid w:val="00CD50D7"/>
    <w:rsid w:val="00D6561F"/>
    <w:rsid w:val="00D80BA2"/>
    <w:rsid w:val="00E06D11"/>
    <w:rsid w:val="00E2502F"/>
    <w:rsid w:val="00EE67E7"/>
    <w:rsid w:val="00F22FE2"/>
    <w:rsid w:val="00F4795B"/>
    <w:rsid w:val="00FB255E"/>
    <w:rsid w:val="00FC3ED4"/>
    <w:rsid w:val="00FE1050"/>
    <w:rsid w:val="00FF1168"/>
    <w:rsid w:val="012C4C26"/>
    <w:rsid w:val="0321400D"/>
    <w:rsid w:val="037C7496"/>
    <w:rsid w:val="03FD08A8"/>
    <w:rsid w:val="04F33787"/>
    <w:rsid w:val="055F5DB0"/>
    <w:rsid w:val="07CA0902"/>
    <w:rsid w:val="0CAE3BAB"/>
    <w:rsid w:val="0CF54541"/>
    <w:rsid w:val="0FCF6803"/>
    <w:rsid w:val="10282434"/>
    <w:rsid w:val="19614D0C"/>
    <w:rsid w:val="1C9A0C60"/>
    <w:rsid w:val="1D9A259A"/>
    <w:rsid w:val="1DFE521F"/>
    <w:rsid w:val="1E3B5B2B"/>
    <w:rsid w:val="1EC20642"/>
    <w:rsid w:val="1EEE7D0C"/>
    <w:rsid w:val="210963B5"/>
    <w:rsid w:val="22B52C00"/>
    <w:rsid w:val="249D1405"/>
    <w:rsid w:val="24B626EF"/>
    <w:rsid w:val="27EA2645"/>
    <w:rsid w:val="29DE0B40"/>
    <w:rsid w:val="2ECC077D"/>
    <w:rsid w:val="33A06705"/>
    <w:rsid w:val="38D64977"/>
    <w:rsid w:val="3A3278B9"/>
    <w:rsid w:val="3A7C292F"/>
    <w:rsid w:val="3B15160A"/>
    <w:rsid w:val="3BA945C4"/>
    <w:rsid w:val="3C21415B"/>
    <w:rsid w:val="3C6C5E40"/>
    <w:rsid w:val="3ED50FF5"/>
    <w:rsid w:val="414E626D"/>
    <w:rsid w:val="42F232A5"/>
    <w:rsid w:val="47521101"/>
    <w:rsid w:val="48EE1869"/>
    <w:rsid w:val="4B386965"/>
    <w:rsid w:val="4C523EBC"/>
    <w:rsid w:val="4CF46E26"/>
    <w:rsid w:val="4EAF2E76"/>
    <w:rsid w:val="534649F7"/>
    <w:rsid w:val="538817CA"/>
    <w:rsid w:val="53F768DD"/>
    <w:rsid w:val="54D9517B"/>
    <w:rsid w:val="56E86456"/>
    <w:rsid w:val="5A7B0BBA"/>
    <w:rsid w:val="5AA230B8"/>
    <w:rsid w:val="5CA43DB3"/>
    <w:rsid w:val="5EE96902"/>
    <w:rsid w:val="5F547034"/>
    <w:rsid w:val="61DD104F"/>
    <w:rsid w:val="6223212B"/>
    <w:rsid w:val="63662122"/>
    <w:rsid w:val="63C4084D"/>
    <w:rsid w:val="64631C4D"/>
    <w:rsid w:val="68B03FED"/>
    <w:rsid w:val="6909330D"/>
    <w:rsid w:val="69A41E76"/>
    <w:rsid w:val="6BF6265F"/>
    <w:rsid w:val="6D2D20B0"/>
    <w:rsid w:val="6DCD3082"/>
    <w:rsid w:val="6DDB1EA4"/>
    <w:rsid w:val="6EC627BC"/>
    <w:rsid w:val="707A7E0B"/>
    <w:rsid w:val="70D958BC"/>
    <w:rsid w:val="71500A63"/>
    <w:rsid w:val="71CD285F"/>
    <w:rsid w:val="72563E57"/>
    <w:rsid w:val="73AC0A97"/>
    <w:rsid w:val="77062D89"/>
    <w:rsid w:val="77C877A1"/>
    <w:rsid w:val="7A120300"/>
    <w:rsid w:val="7CC06A9D"/>
    <w:rsid w:val="7E15791D"/>
    <w:rsid w:val="7ECB4974"/>
    <w:rsid w:val="FFFEB4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unhideWhenUsed/>
    <w:qFormat/>
    <w:uiPriority w:val="99"/>
    <w:pPr>
      <w:spacing w:after="120" w:afterLines="0" w:line="480" w:lineRule="auto"/>
      <w:ind w:left="420" w:leftChars="200"/>
    </w:pPr>
  </w:style>
  <w:style w:type="paragraph" w:styleId="3">
    <w:name w:val="Body Text"/>
    <w:basedOn w:val="1"/>
    <w:qFormat/>
    <w:uiPriority w:val="99"/>
    <w:pPr>
      <w:spacing w:after="120"/>
    </w:pPr>
    <w:rPr>
      <w:rFonts w:eastAsia="仿宋_GB2312"/>
      <w:sz w:val="32"/>
    </w:rPr>
  </w:style>
  <w:style w:type="paragraph" w:styleId="4">
    <w:name w:val="Balloon Text"/>
    <w:basedOn w:val="1"/>
    <w:link w:val="12"/>
    <w:semiHidden/>
    <w:unhideWhenUsed/>
    <w:qFormat/>
    <w:uiPriority w:val="99"/>
    <w:rPr>
      <w:sz w:val="18"/>
      <w:szCs w:val="18"/>
    </w:rPr>
  </w:style>
  <w:style w:type="paragraph" w:styleId="5">
    <w:name w:val="footer"/>
    <w:basedOn w:val="1"/>
    <w:semiHidden/>
    <w:qFormat/>
    <w:uiPriority w:val="0"/>
    <w:pPr>
      <w:tabs>
        <w:tab w:val="center" w:pos="4153"/>
        <w:tab w:val="right" w:pos="8306"/>
      </w:tabs>
      <w:snapToGrid w:val="0"/>
      <w:jc w:val="left"/>
    </w:pPr>
    <w:rPr>
      <w:rFonts w:eastAsia="宋体"/>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page number"/>
    <w:basedOn w:val="9"/>
    <w:semiHidden/>
    <w:qFormat/>
    <w:uiPriority w:val="0"/>
  </w:style>
  <w:style w:type="character" w:customStyle="1" w:styleId="11">
    <w:name w:val="页眉 字符"/>
    <w:link w:val="6"/>
    <w:semiHidden/>
    <w:qFormat/>
    <w:uiPriority w:val="99"/>
    <w:rPr>
      <w:rFonts w:eastAsia="仿宋_GB2312"/>
      <w:kern w:val="2"/>
      <w:sz w:val="18"/>
      <w:szCs w:val="18"/>
    </w:rPr>
  </w:style>
  <w:style w:type="character" w:customStyle="1" w:styleId="12">
    <w:name w:val="批注框文本 字符"/>
    <w:link w:val="4"/>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Pages>
  <Words>1833</Words>
  <Characters>1894</Characters>
  <Lines>3</Lines>
  <Paragraphs>1</Paragraphs>
  <TotalTime>21</TotalTime>
  <ScaleCrop>false</ScaleCrop>
  <LinksUpToDate>false</LinksUpToDate>
  <CharactersWithSpaces>1965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2011-02-27T13:26:00Z</dcterms:created>
  <dc:creator>lhn</dc:creator>
  <cp:lastModifiedBy>Administrator</cp:lastModifiedBy>
  <cp:lastPrinted>2025-03-05T10:45:00Z</cp:lastPrinted>
  <dcterms:modified xsi:type="dcterms:W3CDTF">2025-09-18T13:05:49Z</dcterms:modified>
  <dc:title>附件3：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E08C0723D520446BA4643C7616CFD844_13</vt:lpwstr>
  </property>
  <property fmtid="{D5CDD505-2E9C-101B-9397-08002B2CF9AE}" pid="4" name="KSOTemplateDocerSaveRecord">
    <vt:lpwstr>eyJoZGlkIjoiNDFhZDMyMzM4NDUyZGJlNDU5MjcxNDE2MzhlYmE3NzAifQ==</vt:lpwstr>
  </property>
</Properties>
</file>