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81BD41">
      <w:pPr>
        <w:keepNext w:val="0"/>
        <w:keepLines w:val="0"/>
        <w:pageBreakBefore w:val="0"/>
        <w:widowControl w:val="0"/>
        <w:kinsoku/>
        <w:wordWrap/>
        <w:overflowPunct/>
        <w:topLinePunct w:val="0"/>
        <w:autoSpaceDE/>
        <w:autoSpaceDN/>
        <w:bidi w:val="0"/>
        <w:adjustRightInd/>
        <w:snapToGrid/>
        <w:spacing w:line="640" w:lineRule="exact"/>
        <w:ind w:left="0" w:leftChars="0" w:firstLine="0" w:firstLineChars="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eastAsia="zh-CN"/>
        </w:rPr>
        <w:t>附件</w:t>
      </w:r>
      <w:r>
        <w:rPr>
          <w:rFonts w:hint="eastAsia" w:ascii="仿宋" w:hAnsi="仿宋" w:eastAsia="仿宋" w:cs="仿宋"/>
          <w:sz w:val="32"/>
          <w:szCs w:val="32"/>
          <w:lang w:val="en-US" w:eastAsia="zh-CN"/>
        </w:rPr>
        <w:t>3-4：</w:t>
      </w:r>
    </w:p>
    <w:p w14:paraId="74F2C891">
      <w:pPr>
        <w:keepNext w:val="0"/>
        <w:keepLines w:val="0"/>
        <w:pageBreakBefore w:val="0"/>
        <w:widowControl w:val="0"/>
        <w:kinsoku/>
        <w:wordWrap/>
        <w:overflowPunct/>
        <w:topLinePunct w:val="0"/>
        <w:autoSpaceDE/>
        <w:autoSpaceDN/>
        <w:bidi w:val="0"/>
        <w:adjustRightInd/>
        <w:snapToGrid/>
        <w:spacing w:line="640" w:lineRule="exact"/>
        <w:ind w:left="0" w:leftChars="0" w:firstLine="0" w:firstLineChars="0"/>
        <w:jc w:val="center"/>
        <w:textAlignment w:val="auto"/>
        <w:rPr>
          <w:rFonts w:hint="eastAsia" w:ascii="方正小标宋简体" w:hAnsi="方正小标宋简体" w:eastAsia="方正小标宋简体" w:cs="方正小标宋简体"/>
          <w:sz w:val="44"/>
          <w:szCs w:val="44"/>
        </w:rPr>
      </w:pPr>
    </w:p>
    <w:p w14:paraId="698A1313">
      <w:pPr>
        <w:keepNext w:val="0"/>
        <w:keepLines w:val="0"/>
        <w:pageBreakBefore w:val="0"/>
        <w:widowControl w:val="0"/>
        <w:kinsoku/>
        <w:wordWrap/>
        <w:overflowPunct/>
        <w:topLinePunct w:val="0"/>
        <w:autoSpaceDE/>
        <w:autoSpaceDN/>
        <w:bidi w:val="0"/>
        <w:adjustRightInd/>
        <w:snapToGrid/>
        <w:spacing w:line="640" w:lineRule="exact"/>
        <w:ind w:left="0" w:leftChars="0" w:firstLine="0" w:firstLineChars="0"/>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2024年企业养老保险金收支缺口分担资金县级财政补助项目绩效自评报告</w:t>
      </w:r>
    </w:p>
    <w:p w14:paraId="6CB3E8FA">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p>
    <w:p w14:paraId="70AE8992">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一、项目基本情况</w:t>
      </w:r>
    </w:p>
    <w:p w14:paraId="1E4DE507">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楷体" w:hAnsi="楷体" w:eastAsia="楷体" w:cs="楷体"/>
          <w:sz w:val="32"/>
          <w:szCs w:val="32"/>
        </w:rPr>
      </w:pPr>
      <w:r>
        <w:rPr>
          <w:rFonts w:hint="eastAsia" w:ascii="楷体" w:hAnsi="楷体" w:eastAsia="楷体" w:cs="楷体"/>
          <w:sz w:val="32"/>
          <w:szCs w:val="32"/>
        </w:rPr>
        <w:t>（一）项目概况</w:t>
      </w:r>
    </w:p>
    <w:p w14:paraId="63BA423E">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立项依据：根据根据甘肃省人力资源和社会保障厅甘肃省财政厅《关于建立甘肃省企业职工基本养老保险基金缺口责任分担机制有关事项的通知》（甘人社通〔2017〕418号）文件及张掖市人力资源和社会保障局张掖市财政局《关于印发张掖市企业职工基本养老保险基金缺口责任分担和调剂实施方案的通知》（张人社通〔2018〕325号）文件，为弥补企业养老保险基金缺口，保障退休人员待遇按时</w:t>
      </w:r>
      <w:r>
        <w:rPr>
          <w:rFonts w:hint="eastAsia" w:ascii="仿宋" w:hAnsi="仿宋" w:eastAsia="仿宋" w:cs="仿宋"/>
          <w:sz w:val="32"/>
          <w:szCs w:val="32"/>
          <w:lang w:eastAsia="zh-CN"/>
        </w:rPr>
        <w:t>足额</w:t>
      </w:r>
      <w:r>
        <w:rPr>
          <w:rFonts w:hint="eastAsia" w:ascii="仿宋" w:hAnsi="仿宋" w:eastAsia="仿宋" w:cs="仿宋"/>
          <w:sz w:val="32"/>
          <w:szCs w:val="32"/>
        </w:rPr>
        <w:t>发放，设立本项目。</w:t>
      </w:r>
    </w:p>
    <w:p w14:paraId="5FFF8AC1">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2.批复情况：经县财政局批复，项目预算资金</w:t>
      </w:r>
      <w:r>
        <w:rPr>
          <w:rFonts w:hint="eastAsia" w:ascii="仿宋" w:hAnsi="仿宋" w:eastAsia="仿宋" w:cs="仿宋"/>
          <w:sz w:val="32"/>
          <w:szCs w:val="32"/>
          <w:lang w:val="en-US" w:eastAsia="zh-CN"/>
        </w:rPr>
        <w:t>270</w:t>
      </w:r>
      <w:r>
        <w:rPr>
          <w:rFonts w:hint="eastAsia" w:ascii="仿宋" w:hAnsi="仿宋" w:eastAsia="仿宋" w:cs="仿宋"/>
          <w:sz w:val="32"/>
          <w:szCs w:val="32"/>
        </w:rPr>
        <w:t>万元</w:t>
      </w:r>
      <w:r>
        <w:rPr>
          <w:rFonts w:hint="eastAsia" w:ascii="仿宋" w:hAnsi="仿宋" w:eastAsia="仿宋" w:cs="仿宋"/>
          <w:sz w:val="32"/>
          <w:szCs w:val="32"/>
          <w:lang w:eastAsia="zh-CN"/>
        </w:rPr>
        <w:t>。</w:t>
      </w:r>
    </w:p>
    <w:p w14:paraId="76A379B8">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3.建设内容：县级财政承担企业养老保险金收支缺口补助，用于确保退休人员养老金按时足额发放。</w:t>
      </w:r>
    </w:p>
    <w:p w14:paraId="3F0D0AE7">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4.资金总量及类型：总预算</w:t>
      </w:r>
      <w:r>
        <w:rPr>
          <w:rFonts w:hint="eastAsia" w:ascii="仿宋" w:hAnsi="仿宋" w:eastAsia="仿宋" w:cs="仿宋"/>
          <w:sz w:val="32"/>
          <w:szCs w:val="32"/>
          <w:lang w:val="en-US" w:eastAsia="zh-CN"/>
        </w:rPr>
        <w:t>270</w:t>
      </w:r>
      <w:r>
        <w:rPr>
          <w:rFonts w:hint="eastAsia" w:ascii="仿宋" w:hAnsi="仿宋" w:eastAsia="仿宋" w:cs="仿宋"/>
          <w:sz w:val="32"/>
          <w:szCs w:val="32"/>
        </w:rPr>
        <w:t>万元，其中县级财政承担</w:t>
      </w:r>
      <w:r>
        <w:rPr>
          <w:rFonts w:hint="eastAsia" w:ascii="仿宋" w:hAnsi="仿宋" w:eastAsia="仿宋" w:cs="仿宋"/>
          <w:sz w:val="32"/>
          <w:szCs w:val="32"/>
          <w:lang w:val="en-US" w:eastAsia="zh-CN"/>
        </w:rPr>
        <w:t>270万元</w:t>
      </w:r>
      <w:r>
        <w:rPr>
          <w:rFonts w:hint="eastAsia" w:ascii="仿宋" w:hAnsi="仿宋" w:eastAsia="仿宋" w:cs="仿宋"/>
          <w:sz w:val="32"/>
          <w:szCs w:val="32"/>
        </w:rPr>
        <w:t>。</w:t>
      </w:r>
    </w:p>
    <w:p w14:paraId="304AC235">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5.项目类型：社会保障类民生项目。</w:t>
      </w:r>
    </w:p>
    <w:p w14:paraId="20509F85">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6.实施周期：实施周期为2024年1月1日至12月31日。</w:t>
      </w:r>
    </w:p>
    <w:p w14:paraId="5F269E40">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7.主管部门：临泽县人力资源和社会保障局</w:t>
      </w:r>
      <w:r>
        <w:rPr>
          <w:rFonts w:hint="eastAsia" w:ascii="仿宋" w:hAnsi="仿宋" w:eastAsia="仿宋" w:cs="仿宋"/>
          <w:sz w:val="32"/>
          <w:szCs w:val="32"/>
          <w:lang w:eastAsia="zh-CN"/>
        </w:rPr>
        <w:t>；实施单位：临泽县社会保险事业服务中心。</w:t>
      </w:r>
    </w:p>
    <w:p w14:paraId="6A100DFE">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楷体" w:hAnsi="楷体" w:eastAsia="楷体" w:cs="楷体"/>
          <w:sz w:val="32"/>
          <w:szCs w:val="32"/>
        </w:rPr>
      </w:pPr>
      <w:r>
        <w:rPr>
          <w:rFonts w:hint="eastAsia" w:ascii="楷体" w:hAnsi="楷体" w:eastAsia="楷体" w:cs="楷体"/>
          <w:sz w:val="32"/>
          <w:szCs w:val="32"/>
        </w:rPr>
        <w:t>（二）项目绩效目标</w:t>
      </w:r>
    </w:p>
    <w:p w14:paraId="1F851E47">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8.总目标：确保企业退休人员养老金按时足额发放，维护社会稳定，完善社会保障体系。</w:t>
      </w:r>
    </w:p>
    <w:p w14:paraId="058EC3FB">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9.阶段性目标：2024年12月31日前完成资金拨付，保障</w:t>
      </w:r>
      <w:r>
        <w:rPr>
          <w:rFonts w:hint="eastAsia" w:ascii="仿宋" w:hAnsi="仿宋" w:eastAsia="仿宋" w:cs="仿宋"/>
          <w:sz w:val="32"/>
          <w:szCs w:val="32"/>
          <w:lang w:val="en-US" w:eastAsia="zh-CN"/>
        </w:rPr>
        <w:t>3934</w:t>
      </w:r>
      <w:r>
        <w:rPr>
          <w:rFonts w:hint="eastAsia" w:ascii="仿宋" w:hAnsi="仿宋" w:eastAsia="仿宋" w:cs="仿宋"/>
          <w:sz w:val="32"/>
          <w:szCs w:val="32"/>
        </w:rPr>
        <w:t>名退休人员待遇</w:t>
      </w:r>
      <w:r>
        <w:rPr>
          <w:rFonts w:hint="eastAsia" w:ascii="仿宋" w:hAnsi="仿宋" w:eastAsia="仿宋" w:cs="仿宋"/>
          <w:sz w:val="32"/>
          <w:szCs w:val="32"/>
          <w:lang w:eastAsia="zh-CN"/>
        </w:rPr>
        <w:t>足额</w:t>
      </w:r>
      <w:r>
        <w:rPr>
          <w:rFonts w:hint="eastAsia" w:ascii="仿宋" w:hAnsi="仿宋" w:eastAsia="仿宋" w:cs="仿宋"/>
          <w:sz w:val="32"/>
          <w:szCs w:val="32"/>
        </w:rPr>
        <w:t>发放。</w:t>
      </w:r>
    </w:p>
    <w:p w14:paraId="6D0CAA56">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10.预期效益：</w:t>
      </w:r>
    </w:p>
    <w:p w14:paraId="0F0A0086">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rPr>
        <w:t>经济效益：稳定退休人员收入，间接促进消费市场活力。</w:t>
      </w:r>
    </w:p>
    <w:p w14:paraId="262D9415">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rPr>
        <w:t>社会效益：提升退休人员生活质量，减少社会矛盾。</w:t>
      </w:r>
    </w:p>
    <w:p w14:paraId="25F00687">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rPr>
        <w:t>可持续影响：建立养老保险基金缺口分担长效机制。</w:t>
      </w:r>
    </w:p>
    <w:p w14:paraId="67925CB5">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二、项目资金情况</w:t>
      </w:r>
    </w:p>
    <w:p w14:paraId="59DEC39F">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1.资金计划情况：计划总投入</w:t>
      </w:r>
      <w:r>
        <w:rPr>
          <w:rFonts w:hint="eastAsia" w:ascii="仿宋" w:hAnsi="仿宋" w:eastAsia="仿宋" w:cs="仿宋"/>
          <w:sz w:val="32"/>
          <w:szCs w:val="32"/>
          <w:lang w:val="en-US" w:eastAsia="zh-CN"/>
        </w:rPr>
        <w:t>270</w:t>
      </w:r>
      <w:r>
        <w:rPr>
          <w:rFonts w:hint="eastAsia" w:ascii="仿宋" w:hAnsi="仿宋" w:eastAsia="仿宋" w:cs="仿宋"/>
          <w:sz w:val="32"/>
          <w:szCs w:val="32"/>
        </w:rPr>
        <w:t>万元，其中县级财政</w:t>
      </w:r>
      <w:r>
        <w:rPr>
          <w:rFonts w:hint="eastAsia" w:ascii="仿宋" w:hAnsi="仿宋" w:eastAsia="仿宋" w:cs="仿宋"/>
          <w:sz w:val="32"/>
          <w:szCs w:val="32"/>
          <w:lang w:val="en-US" w:eastAsia="zh-CN"/>
        </w:rPr>
        <w:t>270</w:t>
      </w:r>
      <w:r>
        <w:rPr>
          <w:rFonts w:hint="eastAsia" w:ascii="仿宋" w:hAnsi="仿宋" w:eastAsia="仿宋" w:cs="仿宋"/>
          <w:sz w:val="32"/>
          <w:szCs w:val="32"/>
        </w:rPr>
        <w:t>万元。</w:t>
      </w:r>
    </w:p>
    <w:p w14:paraId="15CF5C4B">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2.资金到位情况：截至2024年12月31日，实际到位资金</w:t>
      </w:r>
      <w:r>
        <w:rPr>
          <w:rFonts w:hint="eastAsia" w:ascii="仿宋" w:hAnsi="仿宋" w:eastAsia="仿宋" w:cs="仿宋"/>
          <w:sz w:val="32"/>
          <w:szCs w:val="32"/>
          <w:lang w:val="en-US" w:eastAsia="zh-CN"/>
        </w:rPr>
        <w:t>270</w:t>
      </w:r>
      <w:r>
        <w:rPr>
          <w:rFonts w:hint="eastAsia" w:ascii="仿宋" w:hAnsi="仿宋" w:eastAsia="仿宋" w:cs="仿宋"/>
          <w:sz w:val="32"/>
          <w:szCs w:val="32"/>
        </w:rPr>
        <w:t>万元，到位率100%。</w:t>
      </w:r>
    </w:p>
    <w:p w14:paraId="68F0E305">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3.资金支出使用情况：累计支出</w:t>
      </w:r>
      <w:r>
        <w:rPr>
          <w:rFonts w:hint="eastAsia" w:ascii="仿宋" w:hAnsi="仿宋" w:eastAsia="仿宋" w:cs="仿宋"/>
          <w:sz w:val="32"/>
          <w:szCs w:val="32"/>
          <w:lang w:val="en-US" w:eastAsia="zh-CN"/>
        </w:rPr>
        <w:t>270</w:t>
      </w:r>
      <w:r>
        <w:rPr>
          <w:rFonts w:hint="eastAsia" w:ascii="仿宋" w:hAnsi="仿宋" w:eastAsia="仿宋" w:cs="仿宋"/>
          <w:sz w:val="32"/>
          <w:szCs w:val="32"/>
        </w:rPr>
        <w:t>万元，支出率100%，全部用于企业养老保险金缺口补助。</w:t>
      </w:r>
    </w:p>
    <w:p w14:paraId="0273FD6D">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三、绩效目标完成情况分析</w:t>
      </w:r>
    </w:p>
    <w:p w14:paraId="51F52B82">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楷体" w:hAnsi="楷体" w:eastAsia="楷体" w:cs="楷体"/>
          <w:sz w:val="32"/>
          <w:szCs w:val="32"/>
        </w:rPr>
      </w:pPr>
      <w:r>
        <w:rPr>
          <w:rFonts w:hint="eastAsia" w:ascii="楷体" w:hAnsi="楷体" w:eastAsia="楷体" w:cs="楷体"/>
          <w:sz w:val="32"/>
          <w:szCs w:val="32"/>
        </w:rPr>
        <w:t>1. 采取的措施</w:t>
      </w:r>
    </w:p>
    <w:p w14:paraId="1FA2277E">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•建立</w:t>
      </w:r>
      <w:r>
        <w:rPr>
          <w:rFonts w:hint="eastAsia" w:ascii="仿宋" w:hAnsi="仿宋" w:eastAsia="仿宋" w:cs="仿宋"/>
          <w:sz w:val="32"/>
          <w:szCs w:val="32"/>
          <w:lang w:eastAsia="zh-CN"/>
        </w:rPr>
        <w:t>社保基金财政</w:t>
      </w:r>
      <w:r>
        <w:rPr>
          <w:rFonts w:hint="eastAsia" w:ascii="仿宋" w:hAnsi="仿宋" w:eastAsia="仿宋" w:cs="仿宋"/>
          <w:sz w:val="32"/>
          <w:szCs w:val="32"/>
        </w:rPr>
        <w:t>专户管理制度，确保资金专款专用。</w:t>
      </w:r>
    </w:p>
    <w:p w14:paraId="67A90C96">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•动态监控基金收支情况，提前预判缺口风险。</w:t>
      </w:r>
    </w:p>
    <w:p w14:paraId="54E7DCE2">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•联合税务部门加强保费征缴，减少缺口压力。</w:t>
      </w:r>
    </w:p>
    <w:p w14:paraId="50C2458C">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•优化资金拨付流程，确保补贴及时到位。</w:t>
      </w:r>
    </w:p>
    <w:p w14:paraId="254671A9">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楷体" w:hAnsi="楷体" w:eastAsia="楷体" w:cs="楷体"/>
          <w:sz w:val="32"/>
          <w:szCs w:val="32"/>
        </w:rPr>
      </w:pPr>
      <w:r>
        <w:rPr>
          <w:rFonts w:hint="eastAsia" w:ascii="楷体" w:hAnsi="楷体" w:eastAsia="楷体" w:cs="楷体"/>
          <w:sz w:val="32"/>
          <w:szCs w:val="32"/>
        </w:rPr>
        <w:t>2. 项目产出分析</w:t>
      </w:r>
    </w:p>
    <w:p w14:paraId="48D1EAD8">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•实际完成率：补助覆盖退休人员</w:t>
      </w:r>
      <w:r>
        <w:rPr>
          <w:rFonts w:hint="eastAsia" w:ascii="仿宋" w:hAnsi="仿宋" w:eastAsia="仿宋" w:cs="仿宋"/>
          <w:sz w:val="32"/>
          <w:szCs w:val="32"/>
          <w:lang w:val="en-US" w:eastAsia="zh-CN"/>
        </w:rPr>
        <w:t>3934</w:t>
      </w:r>
      <w:r>
        <w:rPr>
          <w:rFonts w:hint="eastAsia" w:ascii="仿宋" w:hAnsi="仿宋" w:eastAsia="仿宋" w:cs="仿宋"/>
          <w:sz w:val="32"/>
          <w:szCs w:val="32"/>
        </w:rPr>
        <w:t>人，完成率100%。</w:t>
      </w:r>
    </w:p>
    <w:p w14:paraId="19430DBD">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•完成及时率：资金于12月20日前全部拨付，及时率</w:t>
      </w:r>
      <w:r>
        <w:rPr>
          <w:rFonts w:hint="eastAsia" w:ascii="仿宋" w:hAnsi="仿宋" w:eastAsia="仿宋" w:cs="仿宋"/>
          <w:sz w:val="32"/>
          <w:szCs w:val="32"/>
          <w:lang w:val="en-US" w:eastAsia="zh-CN"/>
        </w:rPr>
        <w:t>100</w:t>
      </w:r>
      <w:r>
        <w:rPr>
          <w:rFonts w:hint="eastAsia" w:ascii="仿宋" w:hAnsi="仿宋" w:eastAsia="仿宋" w:cs="仿宋"/>
          <w:sz w:val="32"/>
          <w:szCs w:val="32"/>
        </w:rPr>
        <w:t>%。</w:t>
      </w:r>
    </w:p>
    <w:p w14:paraId="131C49E1">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•质量达标率：养老金足额发放率100%，达标率100%。</w:t>
      </w:r>
    </w:p>
    <w:p w14:paraId="6D1210A5">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•成本节约率：严格按预算执行，节约率0%。</w:t>
      </w:r>
    </w:p>
    <w:p w14:paraId="6E08BA9A">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楷体" w:hAnsi="楷体" w:eastAsia="楷体" w:cs="楷体"/>
          <w:sz w:val="32"/>
          <w:szCs w:val="32"/>
        </w:rPr>
      </w:pPr>
      <w:r>
        <w:rPr>
          <w:rFonts w:hint="eastAsia" w:ascii="楷体" w:hAnsi="楷体" w:eastAsia="楷体" w:cs="楷体"/>
          <w:sz w:val="32"/>
          <w:szCs w:val="32"/>
        </w:rPr>
        <w:t>3. 项目效益分析</w:t>
      </w:r>
    </w:p>
    <w:p w14:paraId="2B7B53DC">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•经济效益：</w:t>
      </w:r>
      <w:r>
        <w:rPr>
          <w:rFonts w:hint="eastAsia" w:ascii="仿宋" w:hAnsi="仿宋" w:eastAsia="仿宋" w:cs="仿宋"/>
          <w:sz w:val="32"/>
          <w:szCs w:val="32"/>
          <w:lang w:eastAsia="zh-CN"/>
        </w:rPr>
        <w:t>养老保险待遇覆盖率</w:t>
      </w:r>
      <w:r>
        <w:rPr>
          <w:rFonts w:hint="eastAsia" w:ascii="仿宋" w:hAnsi="仿宋" w:eastAsia="仿宋" w:cs="仿宋"/>
          <w:sz w:val="32"/>
          <w:szCs w:val="32"/>
          <w:lang w:val="en-US" w:eastAsia="zh-CN"/>
        </w:rPr>
        <w:t>100%</w:t>
      </w:r>
      <w:r>
        <w:rPr>
          <w:rFonts w:hint="eastAsia" w:ascii="仿宋" w:hAnsi="仿宋" w:eastAsia="仿宋" w:cs="仿宋"/>
          <w:sz w:val="32"/>
          <w:szCs w:val="32"/>
        </w:rPr>
        <w:t>，</w:t>
      </w:r>
      <w:r>
        <w:rPr>
          <w:rFonts w:hint="eastAsia" w:ascii="仿宋" w:hAnsi="仿宋" w:eastAsia="仿宋" w:cs="仿宋"/>
          <w:sz w:val="32"/>
          <w:szCs w:val="32"/>
          <w:lang w:eastAsia="zh-CN"/>
        </w:rPr>
        <w:t>涵盖全体企业退休职工</w:t>
      </w:r>
      <w:r>
        <w:rPr>
          <w:rFonts w:hint="eastAsia" w:ascii="仿宋" w:hAnsi="仿宋" w:eastAsia="仿宋" w:cs="仿宋"/>
          <w:sz w:val="32"/>
          <w:szCs w:val="32"/>
        </w:rPr>
        <w:t>。</w:t>
      </w:r>
    </w:p>
    <w:p w14:paraId="3E1111AE">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•社会效益：退休人员</w:t>
      </w:r>
      <w:r>
        <w:rPr>
          <w:rFonts w:hint="eastAsia" w:ascii="仿宋" w:hAnsi="仿宋" w:eastAsia="仿宋" w:cs="仿宋"/>
          <w:sz w:val="32"/>
          <w:szCs w:val="32"/>
          <w:lang w:eastAsia="zh-CN"/>
        </w:rPr>
        <w:t>生活水平提高</w:t>
      </w:r>
      <w:r>
        <w:rPr>
          <w:rFonts w:hint="eastAsia" w:ascii="仿宋" w:hAnsi="仿宋" w:eastAsia="仿宋" w:cs="仿宋"/>
          <w:sz w:val="32"/>
          <w:szCs w:val="32"/>
        </w:rPr>
        <w:t>，社会</w:t>
      </w:r>
      <w:r>
        <w:rPr>
          <w:rFonts w:hint="eastAsia" w:ascii="仿宋" w:hAnsi="仿宋" w:eastAsia="仿宋" w:cs="仿宋"/>
          <w:sz w:val="32"/>
          <w:szCs w:val="32"/>
          <w:lang w:eastAsia="zh-CN"/>
        </w:rPr>
        <w:t>效益明显</w:t>
      </w:r>
      <w:r>
        <w:rPr>
          <w:rFonts w:hint="eastAsia" w:ascii="仿宋" w:hAnsi="仿宋" w:eastAsia="仿宋" w:cs="仿宋"/>
          <w:sz w:val="32"/>
          <w:szCs w:val="32"/>
        </w:rPr>
        <w:t>。</w:t>
      </w:r>
    </w:p>
    <w:p w14:paraId="44F6D3BF">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•可持续影响：纳入年度财政预算，形成制度化保障机制。</w:t>
      </w:r>
    </w:p>
    <w:p w14:paraId="5E048F7D">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•满意度：问卷调查显示，服务对象满意度为98.5%。</w:t>
      </w:r>
    </w:p>
    <w:p w14:paraId="1DB1973A">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四、自评结论</w:t>
      </w:r>
    </w:p>
    <w:p w14:paraId="17F84981">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项目实施规范高效，资金使用精准，超额完成预期目标。</w:t>
      </w:r>
    </w:p>
    <w:p w14:paraId="1657178B">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rPr>
        <w:t>综合得分：</w:t>
      </w:r>
      <w:r>
        <w:rPr>
          <w:rFonts w:hint="eastAsia" w:ascii="仿宋" w:hAnsi="仿宋" w:eastAsia="仿宋" w:cs="仿宋"/>
          <w:sz w:val="32"/>
          <w:szCs w:val="32"/>
          <w:lang w:val="en-US" w:eastAsia="zh-CN"/>
        </w:rPr>
        <w:t>100</w:t>
      </w:r>
      <w:r>
        <w:rPr>
          <w:rFonts w:hint="eastAsia" w:ascii="仿宋" w:hAnsi="仿宋" w:eastAsia="仿宋" w:cs="仿宋"/>
          <w:sz w:val="32"/>
          <w:szCs w:val="32"/>
        </w:rPr>
        <w:t>分（满分100分），评价等级为优秀</w:t>
      </w:r>
      <w:r>
        <w:rPr>
          <w:rFonts w:hint="eastAsia" w:ascii="仿宋" w:hAnsi="仿宋" w:eastAsia="仿宋" w:cs="仿宋"/>
          <w:sz w:val="32"/>
          <w:szCs w:val="32"/>
          <w:lang w:eastAsia="zh-CN"/>
        </w:rPr>
        <w:t>。</w:t>
      </w:r>
    </w:p>
    <w:p w14:paraId="342B7D19">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主要经验包括：专户管理保障资金安全、部门联动提升执行效率。</w:t>
      </w:r>
    </w:p>
    <w:p w14:paraId="2F74E5B5">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五、存在的问题</w:t>
      </w:r>
    </w:p>
    <w:p w14:paraId="777EAB64">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eastAsia="zh-CN"/>
        </w:rPr>
        <w:t>企业欠费问题依然存在，养老保险缺口进一步较大，财政兜底压力仍然艰巨</w:t>
      </w:r>
      <w:r>
        <w:rPr>
          <w:rFonts w:hint="eastAsia" w:ascii="仿宋" w:hAnsi="仿宋" w:eastAsia="仿宋" w:cs="仿宋"/>
          <w:sz w:val="32"/>
          <w:szCs w:val="32"/>
        </w:rPr>
        <w:t>。</w:t>
      </w:r>
    </w:p>
    <w:p w14:paraId="49073115">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六、下一步工作计划</w:t>
      </w:r>
    </w:p>
    <w:p w14:paraId="08CAAECF">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1.优化资金分配机制，</w:t>
      </w:r>
      <w:r>
        <w:rPr>
          <w:rFonts w:hint="eastAsia" w:ascii="仿宋" w:hAnsi="仿宋" w:eastAsia="仿宋" w:cs="仿宋"/>
          <w:sz w:val="32"/>
          <w:szCs w:val="32"/>
          <w:lang w:eastAsia="zh-CN"/>
        </w:rPr>
        <w:t>加大</w:t>
      </w:r>
      <w:r>
        <w:rPr>
          <w:rFonts w:hint="eastAsia" w:ascii="仿宋" w:hAnsi="仿宋" w:eastAsia="仿宋" w:cs="仿宋"/>
          <w:sz w:val="32"/>
          <w:szCs w:val="32"/>
        </w:rPr>
        <w:t>财政支持</w:t>
      </w:r>
      <w:r>
        <w:rPr>
          <w:rFonts w:hint="eastAsia" w:ascii="仿宋" w:hAnsi="仿宋" w:eastAsia="仿宋" w:cs="仿宋"/>
          <w:sz w:val="32"/>
          <w:szCs w:val="32"/>
          <w:lang w:eastAsia="zh-CN"/>
        </w:rPr>
        <w:t>力度</w:t>
      </w:r>
      <w:r>
        <w:rPr>
          <w:rFonts w:hint="eastAsia" w:ascii="仿宋" w:hAnsi="仿宋" w:eastAsia="仿宋" w:cs="仿宋"/>
          <w:sz w:val="32"/>
          <w:szCs w:val="32"/>
        </w:rPr>
        <w:t>。</w:t>
      </w:r>
    </w:p>
    <w:p w14:paraId="663E328C">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.加强政策宣传，引导企业和职工积极参保</w:t>
      </w:r>
      <w:r>
        <w:rPr>
          <w:rFonts w:hint="eastAsia" w:ascii="仿宋" w:hAnsi="仿宋" w:eastAsia="仿宋" w:cs="仿宋"/>
          <w:sz w:val="32"/>
          <w:szCs w:val="32"/>
          <w:lang w:eastAsia="zh-CN"/>
        </w:rPr>
        <w:t>，清缴欠费</w:t>
      </w:r>
      <w:r>
        <w:rPr>
          <w:rFonts w:hint="eastAsia" w:ascii="仿宋" w:hAnsi="仿宋" w:eastAsia="仿宋" w:cs="仿宋"/>
          <w:sz w:val="32"/>
          <w:szCs w:val="32"/>
        </w:rPr>
        <w:t>。</w:t>
      </w:r>
    </w:p>
    <w:p w14:paraId="40EEAF9E">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w:t>
      </w:r>
      <w:r>
        <w:rPr>
          <w:rFonts w:hint="eastAsia" w:ascii="仿宋" w:hAnsi="仿宋" w:eastAsia="仿宋" w:cs="仿宋"/>
          <w:sz w:val="32"/>
          <w:szCs w:val="32"/>
          <w:lang w:eastAsia="zh-CN"/>
        </w:rPr>
        <w:t>完善基金筹措模式</w:t>
      </w:r>
      <w:r>
        <w:rPr>
          <w:rFonts w:hint="eastAsia" w:ascii="仿宋" w:hAnsi="仿宋" w:eastAsia="仿宋" w:cs="仿宋"/>
          <w:sz w:val="32"/>
          <w:szCs w:val="32"/>
        </w:rPr>
        <w:t>，增强基金可持续性。</w:t>
      </w:r>
    </w:p>
    <w:p w14:paraId="5E116D56">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七、意见建议</w:t>
      </w:r>
    </w:p>
    <w:p w14:paraId="285DE84B">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1.建议上级财政加大对县级财政的转移支付力度，减轻基层负担。</w:t>
      </w:r>
    </w:p>
    <w:p w14:paraId="507D46E2">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2.建立养老保险待遇正常调整机制，确保待遇水平与经济发展同步。</w:t>
      </w:r>
    </w:p>
    <w:p w14:paraId="413D2315">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推广“互联网+社保”服务，提升经办效率和群众满意度。</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EDB3182"/>
    <w:rsid w:val="014B0BDA"/>
    <w:rsid w:val="02CF7222"/>
    <w:rsid w:val="25A65E1D"/>
    <w:rsid w:val="2EDB3182"/>
    <w:rsid w:val="2FAA2E08"/>
    <w:rsid w:val="475E2707"/>
    <w:rsid w:val="4BF209D6"/>
    <w:rsid w:val="4D0F7484"/>
    <w:rsid w:val="72BC64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1290</Words>
  <Characters>1454</Characters>
  <Lines>0</Lines>
  <Paragraphs>0</Paragraphs>
  <TotalTime>9</TotalTime>
  <ScaleCrop>false</ScaleCrop>
  <LinksUpToDate>false</LinksUpToDate>
  <CharactersWithSpaces>1467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2025-03-25T03:22:00Z</dcterms:created>
  <dc:creator>Administrator</dc:creator>
  <cp:lastModifiedBy>Administrator</cp:lastModifiedBy>
  <dcterms:modified xsi:type="dcterms:W3CDTF">2025-03-25T09:07:39Z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D45B24EB2603464AB38F4A2E68197538_11</vt:lpwstr>
  </property>
  <property fmtid="{D5CDD505-2E9C-101B-9397-08002B2CF9AE}" pid="4" name="KSOTemplateDocerSaveRecord">
    <vt:lpwstr>eyJoZGlkIjoiNmNjMjMzYThjNWUyNWI5M2QxNzIzZGM4ODE0N2Y0MmUifQ==</vt:lpwstr>
  </property>
</Properties>
</file>