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1BD4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3-6：</w:t>
      </w:r>
    </w:p>
    <w:p w14:paraId="74F2C891">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p>
    <w:p w14:paraId="2A8DB378">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w:t>
      </w:r>
      <w:r>
        <w:rPr>
          <w:rFonts w:hint="eastAsia" w:ascii="方正小标宋简体" w:hAnsi="方正小标宋简体" w:eastAsia="方正小标宋简体" w:cs="方正小标宋简体"/>
          <w:sz w:val="44"/>
          <w:szCs w:val="44"/>
          <w:lang w:eastAsia="zh-CN"/>
        </w:rPr>
        <w:t>城乡居民养老保险</w:t>
      </w:r>
      <w:r>
        <w:rPr>
          <w:rFonts w:hint="eastAsia" w:ascii="方正小标宋简体" w:hAnsi="方正小标宋简体" w:eastAsia="方正小标宋简体" w:cs="方正小标宋简体"/>
          <w:sz w:val="44"/>
          <w:szCs w:val="44"/>
        </w:rPr>
        <w:t>县级财政补助</w:t>
      </w:r>
    </w:p>
    <w:p w14:paraId="698A1313">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项目绩效自评报告</w:t>
      </w:r>
    </w:p>
    <w:p w14:paraId="6CB3E8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70AE899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14:paraId="1E4DE5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（一）项目概况</w:t>
      </w:r>
    </w:p>
    <w:p w14:paraId="61EA8BF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1.根据《甘肃省城乡居民基本养老保险实施办法》及省、市、县三级政府相关实施细则，结合我县实际需求，2024年继续实施城乡居民养老保险县级财政补助项目。</w:t>
      </w:r>
    </w:p>
    <w:p w14:paraId="34076DD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2.项目批复：经县财政局批复，项目总预算为</w:t>
      </w:r>
      <w:r>
        <w:rPr>
          <w:rFonts w:hint="eastAsia" w:ascii="仿宋" w:hAnsi="仿宋" w:eastAsia="仿宋" w:cs="仿宋"/>
          <w:sz w:val="32"/>
          <w:szCs w:val="32"/>
          <w:lang w:val="en-US" w:eastAsia="zh-CN"/>
        </w:rPr>
        <w:t>742.87</w:t>
      </w:r>
      <w:r>
        <w:rPr>
          <w:rFonts w:hint="eastAsia" w:ascii="仿宋" w:hAnsi="仿宋" w:eastAsia="仿宋" w:cs="仿宋"/>
          <w:sz w:val="32"/>
          <w:szCs w:val="32"/>
        </w:rPr>
        <w:t>万元，覆盖全县</w:t>
      </w:r>
      <w:r>
        <w:rPr>
          <w:rFonts w:hint="eastAsia" w:ascii="仿宋" w:hAnsi="仿宋" w:eastAsia="仿宋" w:cs="仿宋"/>
          <w:sz w:val="32"/>
          <w:szCs w:val="32"/>
          <w:lang w:val="en-US" w:eastAsia="zh-CN"/>
        </w:rPr>
        <w:t>7</w:t>
      </w:r>
      <w:r>
        <w:rPr>
          <w:rFonts w:hint="eastAsia" w:ascii="仿宋" w:hAnsi="仿宋" w:eastAsia="仿宋" w:cs="仿宋"/>
          <w:sz w:val="32"/>
          <w:szCs w:val="32"/>
        </w:rPr>
        <w:t>个乡镇。</w:t>
      </w:r>
    </w:p>
    <w:p w14:paraId="586BAD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3.建设内容：为符合条件的城乡居民养老保险参保人员提供城乡居民养老保险缴费补贴及基础养老金发放资金县级财政补助，重点向60周岁以上参保人员倾斜。</w:t>
      </w:r>
    </w:p>
    <w:p w14:paraId="156752B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4.资金总量：计划投入资金</w:t>
      </w:r>
      <w:r>
        <w:rPr>
          <w:rFonts w:hint="eastAsia" w:ascii="仿宋" w:hAnsi="仿宋" w:eastAsia="仿宋" w:cs="仿宋"/>
          <w:sz w:val="32"/>
          <w:szCs w:val="32"/>
          <w:lang w:val="en-US" w:eastAsia="zh-CN"/>
        </w:rPr>
        <w:t>742.87</w:t>
      </w:r>
      <w:r>
        <w:rPr>
          <w:rFonts w:hint="eastAsia" w:ascii="仿宋" w:hAnsi="仿宋" w:eastAsia="仿宋" w:cs="仿宋"/>
          <w:sz w:val="32"/>
          <w:szCs w:val="32"/>
        </w:rPr>
        <w:t>万元，其中县级财政承担</w:t>
      </w:r>
      <w:r>
        <w:rPr>
          <w:rFonts w:hint="eastAsia" w:ascii="仿宋" w:hAnsi="仿宋" w:eastAsia="仿宋" w:cs="仿宋"/>
          <w:sz w:val="32"/>
          <w:szCs w:val="32"/>
          <w:lang w:val="en-US" w:eastAsia="zh-CN"/>
        </w:rPr>
        <w:t>706万元，市级财政承担基础养老金补贴36.87万元</w:t>
      </w:r>
      <w:r>
        <w:rPr>
          <w:rFonts w:hint="eastAsia" w:ascii="仿宋" w:hAnsi="仿宋" w:eastAsia="仿宋" w:cs="仿宋"/>
          <w:sz w:val="32"/>
          <w:szCs w:val="32"/>
        </w:rPr>
        <w:t>。</w:t>
      </w:r>
    </w:p>
    <w:p w14:paraId="6534B9E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5.项目类型：社会保障类民生项目。</w:t>
      </w:r>
    </w:p>
    <w:p w14:paraId="409637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6.实施周期：2024年1月1日至2024年12月31日。</w:t>
      </w:r>
    </w:p>
    <w:p w14:paraId="3FE51D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7.主管部门：</w:t>
      </w:r>
      <w:r>
        <w:rPr>
          <w:rFonts w:hint="eastAsia" w:ascii="仿宋" w:hAnsi="仿宋" w:eastAsia="仿宋" w:cs="仿宋"/>
          <w:sz w:val="32"/>
          <w:szCs w:val="32"/>
          <w:lang w:eastAsia="zh-CN"/>
        </w:rPr>
        <w:t>临泽县</w:t>
      </w:r>
      <w:r>
        <w:rPr>
          <w:rFonts w:hint="eastAsia" w:ascii="仿宋" w:hAnsi="仿宋" w:eastAsia="仿宋" w:cs="仿宋"/>
          <w:sz w:val="32"/>
          <w:szCs w:val="32"/>
        </w:rPr>
        <w:t>人力资源和社会保障局</w:t>
      </w:r>
      <w:r>
        <w:rPr>
          <w:rFonts w:hint="eastAsia" w:ascii="仿宋" w:hAnsi="仿宋" w:eastAsia="仿宋" w:cs="仿宋"/>
          <w:sz w:val="32"/>
          <w:szCs w:val="32"/>
          <w:lang w:eastAsia="zh-CN"/>
        </w:rPr>
        <w:t>；实施单位：临泽县社会保险事业服务中心。</w:t>
      </w:r>
    </w:p>
    <w:p w14:paraId="56EF75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（二）项目绩效目标</w:t>
      </w:r>
    </w:p>
    <w:p w14:paraId="440A7E8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8.总目标：确保城乡居民养老保险制度可持续运行，保障参保居民老年基本生活，助力乡村振兴和社会公平。</w:t>
      </w:r>
    </w:p>
    <w:p w14:paraId="34A2260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9.阶段性目标：</w:t>
      </w:r>
    </w:p>
    <w:p w14:paraId="2AC1D9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参保覆盖率达95%以上；</w:t>
      </w:r>
    </w:p>
    <w:p w14:paraId="179A85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财政补助资金发放及时率100%；</w:t>
      </w:r>
    </w:p>
    <w:p w14:paraId="252820F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资金使用合规率100%。</w:t>
      </w:r>
    </w:p>
    <w:p w14:paraId="68F58A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10.预期效益：</w:t>
      </w:r>
    </w:p>
    <w:p w14:paraId="62E70D2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经济效益：稳定居民养老预期，促进消费增长。</w:t>
      </w:r>
    </w:p>
    <w:p w14:paraId="109C522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社会效益：提升老年群体生活质量，增强社会安全感。</w:t>
      </w:r>
    </w:p>
    <w:p w14:paraId="2C39FD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可持续影响：完善多层次社会保障体系，推动共同富裕。</w:t>
      </w:r>
    </w:p>
    <w:p w14:paraId="02E8D3C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二、项目资金情况</w:t>
      </w:r>
    </w:p>
    <w:p w14:paraId="28B28A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1.资金计划情况：2024年预算安排县级财政补助资金</w:t>
      </w:r>
      <w:r>
        <w:rPr>
          <w:rFonts w:hint="eastAsia" w:ascii="仿宋" w:hAnsi="仿宋" w:eastAsia="仿宋" w:cs="仿宋"/>
          <w:sz w:val="32"/>
          <w:szCs w:val="32"/>
          <w:lang w:val="en-US" w:eastAsia="zh-CN"/>
        </w:rPr>
        <w:t>706</w:t>
      </w:r>
      <w:r>
        <w:rPr>
          <w:rFonts w:hint="eastAsia" w:ascii="仿宋" w:hAnsi="仿宋" w:eastAsia="仿宋" w:cs="仿宋"/>
          <w:sz w:val="32"/>
          <w:szCs w:val="32"/>
        </w:rPr>
        <w:t>万元，</w:t>
      </w:r>
      <w:r>
        <w:rPr>
          <w:rFonts w:hint="eastAsia" w:ascii="仿宋" w:hAnsi="仿宋" w:eastAsia="仿宋" w:cs="仿宋"/>
          <w:sz w:val="32"/>
          <w:szCs w:val="32"/>
          <w:lang w:eastAsia="zh-CN"/>
        </w:rPr>
        <w:t>市级补助资金</w:t>
      </w:r>
      <w:r>
        <w:rPr>
          <w:rFonts w:hint="eastAsia" w:ascii="仿宋" w:hAnsi="仿宋" w:eastAsia="仿宋" w:cs="仿宋"/>
          <w:sz w:val="32"/>
          <w:szCs w:val="32"/>
          <w:lang w:val="en-US" w:eastAsia="zh-CN"/>
        </w:rPr>
        <w:t>36.87万元，</w:t>
      </w:r>
      <w:r>
        <w:rPr>
          <w:rFonts w:hint="eastAsia" w:ascii="仿宋" w:hAnsi="仿宋" w:eastAsia="仿宋" w:cs="仿宋"/>
          <w:sz w:val="32"/>
          <w:szCs w:val="32"/>
        </w:rPr>
        <w:t>全部纳入年度财政预算。</w:t>
      </w:r>
    </w:p>
    <w:p w14:paraId="694600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2.资金到位情况：截至2024年12月31日，实际到位资金</w:t>
      </w:r>
      <w:r>
        <w:rPr>
          <w:rFonts w:hint="eastAsia" w:ascii="仿宋" w:hAnsi="仿宋" w:eastAsia="仿宋" w:cs="仿宋"/>
          <w:sz w:val="32"/>
          <w:szCs w:val="32"/>
          <w:lang w:val="en-US" w:eastAsia="zh-CN"/>
        </w:rPr>
        <w:t>742.87</w:t>
      </w:r>
      <w:r>
        <w:rPr>
          <w:rFonts w:hint="eastAsia" w:ascii="仿宋" w:hAnsi="仿宋" w:eastAsia="仿宋" w:cs="仿宋"/>
          <w:sz w:val="32"/>
          <w:szCs w:val="32"/>
        </w:rPr>
        <w:t>万元，到位率100%。</w:t>
      </w:r>
    </w:p>
    <w:p w14:paraId="29D524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3.资金支出使用情况：实际支出</w:t>
      </w:r>
      <w:r>
        <w:rPr>
          <w:rFonts w:hint="eastAsia" w:ascii="仿宋" w:hAnsi="仿宋" w:eastAsia="仿宋" w:cs="仿宋"/>
          <w:sz w:val="32"/>
          <w:szCs w:val="32"/>
          <w:lang w:val="en-US" w:eastAsia="zh-CN"/>
        </w:rPr>
        <w:t>652.87</w:t>
      </w:r>
      <w:r>
        <w:rPr>
          <w:rFonts w:hint="eastAsia" w:ascii="仿宋" w:hAnsi="仿宋" w:eastAsia="仿宋" w:cs="仿宋"/>
          <w:sz w:val="32"/>
          <w:szCs w:val="32"/>
        </w:rPr>
        <w:t>万元，支出率</w:t>
      </w:r>
      <w:r>
        <w:rPr>
          <w:rFonts w:hint="eastAsia" w:ascii="仿宋" w:hAnsi="仿宋" w:eastAsia="仿宋" w:cs="仿宋"/>
          <w:sz w:val="32"/>
          <w:szCs w:val="32"/>
          <w:lang w:val="en-US" w:eastAsia="zh-CN"/>
        </w:rPr>
        <w:t>87.9</w:t>
      </w:r>
      <w:r>
        <w:rPr>
          <w:rFonts w:hint="eastAsia" w:ascii="仿宋" w:hAnsi="仿宋" w:eastAsia="仿宋" w:cs="仿宋"/>
          <w:sz w:val="32"/>
          <w:szCs w:val="32"/>
        </w:rPr>
        <w:t>%，资金用于参保人员缴费补贴、基础养老金发放等，无挪用或闲置现象。</w:t>
      </w:r>
    </w:p>
    <w:p w14:paraId="0736BEC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三、绩效目标完成情况分析</w:t>
      </w:r>
    </w:p>
    <w:p w14:paraId="68E32C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1. 采取的措施</w:t>
      </w:r>
    </w:p>
    <w:p w14:paraId="130ADD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•加强政策宣传，通过线上线下渠道普及参保政策及补助标准。</w:t>
      </w:r>
    </w:p>
    <w:p w14:paraId="53A036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•动态调整补助标准，确保与经济发展水平相适应。</w:t>
      </w:r>
    </w:p>
    <w:p w14:paraId="1473FCF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•建立部门联动机制，联合财政、人社、银行等单位优化发放流程。</w:t>
      </w:r>
    </w:p>
    <w:p w14:paraId="2994351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•强化资金监管，定期开展专项检查，确保资金安全合规使用。</w:t>
      </w:r>
    </w:p>
    <w:p w14:paraId="196ABA6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2. 项目产出分析</w:t>
      </w:r>
    </w:p>
    <w:p w14:paraId="4B5AC9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•实际完成率：</w:t>
      </w:r>
      <w:r>
        <w:rPr>
          <w:rFonts w:hint="eastAsia" w:ascii="仿宋" w:hAnsi="仿宋" w:eastAsia="仿宋" w:cs="仿宋"/>
          <w:sz w:val="32"/>
          <w:szCs w:val="32"/>
          <w:lang w:eastAsia="zh-CN"/>
        </w:rPr>
        <w:t>覆盖人群</w:t>
      </w:r>
      <w:r>
        <w:rPr>
          <w:rFonts w:hint="eastAsia" w:ascii="仿宋" w:hAnsi="仿宋" w:eastAsia="仿宋" w:cs="仿宋"/>
          <w:sz w:val="32"/>
          <w:szCs w:val="32"/>
          <w:lang w:val="en-US" w:eastAsia="zh-CN"/>
        </w:rPr>
        <w:t>3</w:t>
      </w:r>
      <w:r>
        <w:rPr>
          <w:rFonts w:hint="eastAsia" w:ascii="仿宋" w:hAnsi="仿宋" w:eastAsia="仿宋" w:cs="仿宋"/>
          <w:sz w:val="32"/>
          <w:szCs w:val="32"/>
        </w:rPr>
        <w:t>万人</w:t>
      </w:r>
      <w:r>
        <w:rPr>
          <w:rFonts w:hint="eastAsia" w:ascii="仿宋" w:hAnsi="仿宋" w:eastAsia="仿宋" w:cs="仿宋"/>
          <w:sz w:val="32"/>
          <w:szCs w:val="32"/>
          <w:lang w:eastAsia="zh-CN"/>
        </w:rPr>
        <w:t>以上</w:t>
      </w:r>
      <w:r>
        <w:rPr>
          <w:rFonts w:hint="eastAsia" w:ascii="仿宋" w:hAnsi="仿宋" w:eastAsia="仿宋" w:cs="仿宋"/>
          <w:sz w:val="32"/>
          <w:szCs w:val="32"/>
        </w:rPr>
        <w:t>，完成计划的10</w:t>
      </w:r>
      <w:r>
        <w:rPr>
          <w:rFonts w:hint="eastAsia" w:ascii="仿宋" w:hAnsi="仿宋" w:eastAsia="仿宋" w:cs="仿宋"/>
          <w:sz w:val="32"/>
          <w:szCs w:val="32"/>
          <w:lang w:val="en-US" w:eastAsia="zh-CN"/>
        </w:rPr>
        <w:t>0</w:t>
      </w:r>
      <w:r>
        <w:rPr>
          <w:rFonts w:hint="eastAsia" w:ascii="仿宋" w:hAnsi="仿宋" w:eastAsia="仿宋" w:cs="仿宋"/>
          <w:sz w:val="32"/>
          <w:szCs w:val="32"/>
        </w:rPr>
        <w:t>%（实际产出数/计划产出数×100%）。</w:t>
      </w:r>
    </w:p>
    <w:p w14:paraId="7E66A6C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•完成及时率：补助资金按月发放，完成及时率100%（计划完成时间-实际完成时间为0）。</w:t>
      </w:r>
    </w:p>
    <w:p w14:paraId="60F041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•质量达标率：补助对象审核准确率100%，资金发放零差错（质量达标产出数/实际产出数×100%）。</w:t>
      </w:r>
    </w:p>
    <w:p w14:paraId="29A351F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•成本节约率：通过优化流程减少行政成本，成本节约率</w:t>
      </w:r>
      <w:r>
        <w:rPr>
          <w:rFonts w:hint="eastAsia" w:ascii="仿宋" w:hAnsi="仿宋" w:eastAsia="仿宋" w:cs="仿宋"/>
          <w:sz w:val="32"/>
          <w:szCs w:val="32"/>
          <w:lang w:val="en-US" w:eastAsia="zh-CN"/>
        </w:rPr>
        <w:t>13</w:t>
      </w:r>
      <w:r>
        <w:rPr>
          <w:rFonts w:hint="eastAsia" w:ascii="仿宋" w:hAnsi="仿宋" w:eastAsia="仿宋" w:cs="仿宋"/>
          <w:sz w:val="32"/>
          <w:szCs w:val="32"/>
        </w:rPr>
        <w:t>%（计划成本-实际成本/计划成本×100%）。</w:t>
      </w:r>
    </w:p>
    <w:p w14:paraId="5E4FBC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 项目效益分析</w:t>
      </w:r>
    </w:p>
    <w:p w14:paraId="4D72405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•经济效益：带动居民储蓄向消费转化，促进县域经济活力。</w:t>
      </w:r>
    </w:p>
    <w:p w14:paraId="026792F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•社会效益：参保覆盖率超预期，老年群体满意度达92%</w:t>
      </w:r>
      <w:r>
        <w:rPr>
          <w:rFonts w:hint="eastAsia" w:ascii="仿宋" w:hAnsi="仿宋" w:eastAsia="仿宋" w:cs="仿宋"/>
          <w:sz w:val="32"/>
          <w:szCs w:val="32"/>
          <w:lang w:eastAsia="zh-CN"/>
        </w:rPr>
        <w:t>以上</w:t>
      </w:r>
      <w:r>
        <w:rPr>
          <w:rFonts w:hint="eastAsia" w:ascii="仿宋" w:hAnsi="仿宋" w:eastAsia="仿宋" w:cs="仿宋"/>
          <w:sz w:val="32"/>
          <w:szCs w:val="32"/>
        </w:rPr>
        <w:t>。</w:t>
      </w:r>
    </w:p>
    <w:p w14:paraId="52AD0A4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•可持续影响：制度稳定性增强，</w:t>
      </w:r>
      <w:r>
        <w:rPr>
          <w:rFonts w:hint="eastAsia" w:ascii="仿宋" w:hAnsi="仿宋" w:eastAsia="仿宋" w:cs="仿宋"/>
          <w:sz w:val="32"/>
          <w:szCs w:val="32"/>
          <w:lang w:eastAsia="zh-CN"/>
        </w:rPr>
        <w:t>居民养老保障能力提升</w:t>
      </w:r>
      <w:r>
        <w:rPr>
          <w:rFonts w:hint="eastAsia" w:ascii="仿宋" w:hAnsi="仿宋" w:eastAsia="仿宋" w:cs="仿宋"/>
          <w:sz w:val="32"/>
          <w:szCs w:val="32"/>
        </w:rPr>
        <w:t>。</w:t>
      </w:r>
    </w:p>
    <w:p w14:paraId="319A20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•满意度：通过问卷调查，95%以上参保群众认可补助政策。</w:t>
      </w:r>
    </w:p>
    <w:p w14:paraId="25192C0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四、自评结论</w:t>
      </w:r>
    </w:p>
    <w:p w14:paraId="3C1BD4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项目实施成效显著，资金使用高效，政策落实到位，达到预期目标。</w:t>
      </w:r>
    </w:p>
    <w:p w14:paraId="7E1C32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综合得分：</w:t>
      </w:r>
      <w:r>
        <w:rPr>
          <w:rFonts w:hint="eastAsia" w:ascii="仿宋" w:hAnsi="仿宋" w:eastAsia="仿宋" w:cs="仿宋"/>
          <w:sz w:val="32"/>
          <w:szCs w:val="32"/>
          <w:lang w:val="en-US" w:eastAsia="zh-CN"/>
        </w:rPr>
        <w:t>99.5</w:t>
      </w:r>
      <w:r>
        <w:rPr>
          <w:rFonts w:hint="eastAsia" w:ascii="仿宋" w:hAnsi="仿宋" w:eastAsia="仿宋" w:cs="仿宋"/>
          <w:sz w:val="32"/>
          <w:szCs w:val="32"/>
        </w:rPr>
        <w:t>分（满分100分），评价等级为优秀</w:t>
      </w:r>
      <w:r>
        <w:rPr>
          <w:rFonts w:hint="eastAsia" w:ascii="仿宋" w:hAnsi="仿宋" w:eastAsia="仿宋" w:cs="仿宋"/>
          <w:sz w:val="32"/>
          <w:szCs w:val="32"/>
          <w:lang w:eastAsia="zh-CN"/>
        </w:rPr>
        <w:t>。</w:t>
      </w:r>
    </w:p>
    <w:p w14:paraId="0BAB399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经验总结如下：</w:t>
      </w:r>
    </w:p>
    <w:p w14:paraId="57C9EB5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1.强化部门协同，实现数据共享和流程优化；</w:t>
      </w:r>
    </w:p>
    <w:p w14:paraId="48C21BB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.动态调整补助标准，确保政策惠民性；</w:t>
      </w:r>
    </w:p>
    <w:p w14:paraId="0288C4E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.依托数字化平台提升经办效率。</w:t>
      </w:r>
    </w:p>
    <w:p w14:paraId="0FE635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五、存在的问题</w:t>
      </w:r>
    </w:p>
    <w:p w14:paraId="538E734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.部分偏远</w:t>
      </w:r>
      <w:r>
        <w:rPr>
          <w:rFonts w:hint="eastAsia" w:ascii="仿宋" w:hAnsi="仿宋" w:eastAsia="仿宋" w:cs="仿宋"/>
          <w:sz w:val="32"/>
          <w:szCs w:val="32"/>
          <w:lang w:eastAsia="zh-CN"/>
        </w:rPr>
        <w:t>乡镇</w:t>
      </w:r>
      <w:r>
        <w:rPr>
          <w:rFonts w:hint="eastAsia" w:ascii="仿宋" w:hAnsi="仿宋" w:eastAsia="仿宋" w:cs="仿宋"/>
          <w:sz w:val="32"/>
          <w:szCs w:val="32"/>
        </w:rPr>
        <w:t>政策宣传覆盖率不足；</w:t>
      </w:r>
    </w:p>
    <w:p w14:paraId="4C9F3F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.基层经办人员业务能力需进一步提升；</w:t>
      </w:r>
    </w:p>
    <w:p w14:paraId="56E7FA6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.与其他社保政策衔接机制有待完善。</w:t>
      </w:r>
    </w:p>
    <w:p w14:paraId="100001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六、下一步工作计划</w:t>
      </w:r>
    </w:p>
    <w:p w14:paraId="05C1FA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.开展“政策下乡”专项行动，覆盖偏远</w:t>
      </w:r>
      <w:r>
        <w:rPr>
          <w:rFonts w:hint="eastAsia" w:ascii="仿宋" w:hAnsi="仿宋" w:eastAsia="仿宋" w:cs="仿宋"/>
          <w:sz w:val="32"/>
          <w:szCs w:val="32"/>
          <w:lang w:eastAsia="zh-CN"/>
        </w:rPr>
        <w:t>乡镇村社</w:t>
      </w:r>
      <w:r>
        <w:rPr>
          <w:rFonts w:hint="eastAsia" w:ascii="仿宋" w:hAnsi="仿宋" w:eastAsia="仿宋" w:cs="仿宋"/>
          <w:sz w:val="32"/>
          <w:szCs w:val="32"/>
        </w:rPr>
        <w:t>；</w:t>
      </w:r>
    </w:p>
    <w:p w14:paraId="5A5AF01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.组织基层经办人员业务培训；</w:t>
      </w:r>
    </w:p>
    <w:p w14:paraId="291282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.推动城乡居民养老保险与其他保障制度的信息互通。</w:t>
      </w:r>
    </w:p>
    <w:p w14:paraId="35A840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七、意见建议</w:t>
      </w:r>
    </w:p>
    <w:p w14:paraId="11AD2F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.建议上级财政加大对</w:t>
      </w:r>
      <w:r>
        <w:rPr>
          <w:rFonts w:hint="eastAsia" w:ascii="仿宋" w:hAnsi="仿宋" w:eastAsia="仿宋" w:cs="仿宋"/>
          <w:sz w:val="32"/>
          <w:szCs w:val="32"/>
          <w:lang w:eastAsia="zh-CN"/>
        </w:rPr>
        <w:t>县级</w:t>
      </w:r>
      <w:r>
        <w:rPr>
          <w:rFonts w:hint="eastAsia" w:ascii="仿宋" w:hAnsi="仿宋" w:eastAsia="仿宋" w:cs="仿宋"/>
          <w:sz w:val="32"/>
          <w:szCs w:val="32"/>
        </w:rPr>
        <w:t>的补助力度；</w:t>
      </w:r>
    </w:p>
    <w:p w14:paraId="05DD2A6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2.探索“财政补助+商业保险”的多层次养老保障模式；</w:t>
      </w:r>
    </w:p>
    <w:p w14:paraId="413D23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.加强部门间数据共享，减少重复申报流程。</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B3182"/>
    <w:rsid w:val="014B0BDA"/>
    <w:rsid w:val="02CF7222"/>
    <w:rsid w:val="107746F9"/>
    <w:rsid w:val="25A65E1D"/>
    <w:rsid w:val="2EDB3182"/>
    <w:rsid w:val="2FAA2E08"/>
    <w:rsid w:val="475E2707"/>
    <w:rsid w:val="4BF209D6"/>
    <w:rsid w:val="4D0F7484"/>
    <w:rsid w:val="51FA67BD"/>
    <w:rsid w:val="53DA79CE"/>
    <w:rsid w:val="5B283720"/>
    <w:rsid w:val="72BC6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1085</Words>
  <Characters>1218</Characters>
  <Lines>0</Lines>
  <Paragraphs>0</Paragraphs>
  <TotalTime>11</TotalTime>
  <ScaleCrop>false</ScaleCrop>
  <LinksUpToDate>false</LinksUpToDate>
  <CharactersWithSpaces>1227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2025-03-25T03:22:00Z</dcterms:created>
  <dc:creator>Administrator</dc:creator>
  <cp:lastModifiedBy>Administrator</cp:lastModifiedBy>
  <dcterms:modified xsi:type="dcterms:W3CDTF">2025-03-26T02:44:49Z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D45B24EB2603464AB38F4A2E68197538_11</vt:lpwstr>
  </property>
  <property fmtid="{D5CDD505-2E9C-101B-9397-08002B2CF9AE}" pid="4" name="KSOTemplateDocerSaveRecord">
    <vt:lpwstr>eyJoZGlkIjoiNmNjMjMzYThjNWUyNWI5M2QxNzIzZGM4ODE0N2Y0MmUifQ==</vt:lpwstr>
  </property>
</Properties>
</file>