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81BD41">
      <w:pPr>
        <w:keepNext w:val="0"/>
        <w:keepLines w:val="0"/>
        <w:pageBreakBefore w:val="0"/>
        <w:widowControl w:val="0"/>
        <w:kinsoku/>
        <w:wordWrap/>
        <w:overflowPunct/>
        <w:topLinePunct w:val="0"/>
        <w:autoSpaceDE/>
        <w:autoSpaceDN/>
        <w:bidi w:val="0"/>
        <w:adjustRightInd/>
        <w:snapToGrid/>
        <w:spacing w:line="640" w:lineRule="exact"/>
        <w:ind w:left="0" w:leftChars="0" w:firstLine="0" w:firstLineChars="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附件</w:t>
      </w:r>
      <w:r>
        <w:rPr>
          <w:rFonts w:hint="eastAsia" w:ascii="仿宋" w:hAnsi="仿宋" w:eastAsia="仿宋" w:cs="仿宋"/>
          <w:sz w:val="32"/>
          <w:szCs w:val="32"/>
          <w:lang w:val="en-US" w:eastAsia="zh-CN"/>
        </w:rPr>
        <w:t>3-8：</w:t>
      </w:r>
    </w:p>
    <w:p w14:paraId="74F2C891">
      <w:pPr>
        <w:keepNext w:val="0"/>
        <w:keepLines w:val="0"/>
        <w:pageBreakBefore w:val="0"/>
        <w:widowControl w:val="0"/>
        <w:kinsoku/>
        <w:wordWrap/>
        <w:overflowPunct/>
        <w:topLinePunct w:val="0"/>
        <w:autoSpaceDE/>
        <w:autoSpaceDN/>
        <w:bidi w:val="0"/>
        <w:adjustRightInd/>
        <w:snapToGrid/>
        <w:spacing w:line="640" w:lineRule="exact"/>
        <w:ind w:left="0" w:leftChars="0" w:firstLine="0" w:firstLineChars="0"/>
        <w:jc w:val="center"/>
        <w:textAlignment w:val="auto"/>
        <w:rPr>
          <w:rFonts w:hint="eastAsia" w:ascii="方正小标宋简体" w:hAnsi="方正小标宋简体" w:eastAsia="方正小标宋简体" w:cs="方正小标宋简体"/>
          <w:sz w:val="44"/>
          <w:szCs w:val="44"/>
        </w:rPr>
      </w:pPr>
    </w:p>
    <w:p w14:paraId="698A1313">
      <w:pPr>
        <w:keepNext w:val="0"/>
        <w:keepLines w:val="0"/>
        <w:pageBreakBefore w:val="0"/>
        <w:widowControl w:val="0"/>
        <w:kinsoku/>
        <w:wordWrap/>
        <w:overflowPunct/>
        <w:topLinePunct w:val="0"/>
        <w:autoSpaceDE/>
        <w:autoSpaceDN/>
        <w:bidi w:val="0"/>
        <w:adjustRightInd/>
        <w:snapToGrid/>
        <w:spacing w:line="640" w:lineRule="exact"/>
        <w:ind w:left="0" w:leftChars="0" w:firstLine="0" w:firstLineChars="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2024年原雪晶公司伤残人员伤残津贴和社保费县级财政补助项目绩效自评报告</w:t>
      </w:r>
    </w:p>
    <w:p w14:paraId="6CB3E8F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p>
    <w:p w14:paraId="70AE899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一、项目基本情况</w:t>
      </w:r>
    </w:p>
    <w:p w14:paraId="1E4DE50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（一）项目概况</w:t>
      </w:r>
    </w:p>
    <w:p w14:paraId="212D4A6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1.立项依据：根据《工伤保险条例》《国务院关于完善企业职工基本养老保险制度的决定》及地方政府对改制企业遗留问题的处理意见，结合原雪晶公司伤残人员实际需求，2024年继续实施该专项补助项目。</w:t>
      </w:r>
    </w:p>
    <w:p w14:paraId="1564E3E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2.项目批复：经县财政局批复，项目总预算为10万元，覆盖原雪晶公司3名伤残人员。</w:t>
      </w:r>
    </w:p>
    <w:p w14:paraId="7274D0B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3.建设内容：为符合条件的伤残人员按月发放伤残津贴，并代缴基本养老保险费，确保其待遇与工伤保险政策同步调整。</w:t>
      </w:r>
    </w:p>
    <w:p w14:paraId="47B2808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4.资金总量：计划投入县级财政补助资金10万元，全部为县级财政专项资金。</w:t>
      </w:r>
    </w:p>
    <w:p w14:paraId="7A5D36C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5.项目类型：社会保障类民生项目。</w:t>
      </w:r>
    </w:p>
    <w:p w14:paraId="50F8310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6.实施周期：2024年1月1日至2024年12月31日。</w:t>
      </w:r>
    </w:p>
    <w:p w14:paraId="5EB47BF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7.主管部门：</w:t>
      </w:r>
      <w:r>
        <w:rPr>
          <w:rFonts w:hint="eastAsia" w:ascii="仿宋" w:hAnsi="仿宋" w:eastAsia="仿宋" w:cs="仿宋"/>
          <w:sz w:val="32"/>
          <w:szCs w:val="32"/>
          <w:lang w:eastAsia="zh-CN"/>
        </w:rPr>
        <w:t>临泽县</w:t>
      </w:r>
      <w:r>
        <w:rPr>
          <w:rFonts w:hint="eastAsia" w:ascii="仿宋" w:hAnsi="仿宋" w:eastAsia="仿宋" w:cs="仿宋"/>
          <w:sz w:val="32"/>
          <w:szCs w:val="32"/>
        </w:rPr>
        <w:t>人力资源和社会保障局</w:t>
      </w:r>
      <w:r>
        <w:rPr>
          <w:rFonts w:hint="eastAsia" w:ascii="仿宋" w:hAnsi="仿宋" w:eastAsia="仿宋" w:cs="仿宋"/>
          <w:sz w:val="32"/>
          <w:szCs w:val="32"/>
          <w:lang w:eastAsia="zh-CN"/>
        </w:rPr>
        <w:t>；实施单位：临泽县社会保险事业服务中心。</w:t>
      </w:r>
    </w:p>
    <w:p w14:paraId="730E076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（二）项目绩效目标</w:t>
      </w:r>
    </w:p>
    <w:p w14:paraId="0F7BCDB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8.总目标：保障原雪晶公司伤残人员基本生活，确保其养老待遇与工伤保险政策衔接，维护社会稳定。</w:t>
      </w:r>
    </w:p>
    <w:p w14:paraId="27D790E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9.阶段性目标：</w:t>
      </w:r>
    </w:p>
    <w:p w14:paraId="5C22214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rPr>
        <w:t>伤残津贴及社保费发放覆盖率100%；</w:t>
      </w:r>
    </w:p>
    <w:p w14:paraId="091C739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rPr>
        <w:t>资金使用合规率100%；</w:t>
      </w:r>
    </w:p>
    <w:p w14:paraId="0419A3C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rPr>
        <w:t>待遇调整及时率100%。</w:t>
      </w:r>
    </w:p>
    <w:p w14:paraId="1B8DC7C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10.预期效益：</w:t>
      </w:r>
    </w:p>
    <w:p w14:paraId="66487D5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rPr>
        <w:t>经济效益：缓解伤残人员经济压力，保障其退休后生活质量。</w:t>
      </w:r>
    </w:p>
    <w:p w14:paraId="39EFA31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rPr>
        <w:t>社会效益：提升改制企业职工获得感，维护社会公平正义。</w:t>
      </w:r>
    </w:p>
    <w:p w14:paraId="1DE6E03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rPr>
        <w:t>可持续影响：完善特殊群体社会保障长效机制，助力和谐社会建设。</w:t>
      </w:r>
    </w:p>
    <w:p w14:paraId="44AD9D6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二、项目资金情况</w:t>
      </w:r>
    </w:p>
    <w:p w14:paraId="345ABFA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1.资金计划情况：2024年预算安排县级财政补助资金10万元，专项用于伤残津贴及社保费代缴。</w:t>
      </w:r>
    </w:p>
    <w:p w14:paraId="1D19AC2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2.资金到位情况：截至2024年12月31日，实际到位资金10万元，到位率100%。</w:t>
      </w:r>
    </w:p>
    <w:p w14:paraId="2BC4A2E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3.资金支出使用情况：实际支出</w:t>
      </w:r>
      <w:r>
        <w:rPr>
          <w:rFonts w:hint="eastAsia" w:ascii="仿宋" w:hAnsi="仿宋" w:eastAsia="仿宋" w:cs="仿宋"/>
          <w:sz w:val="32"/>
          <w:szCs w:val="32"/>
          <w:lang w:val="en-US" w:eastAsia="zh-CN"/>
        </w:rPr>
        <w:t>9.89</w:t>
      </w:r>
      <w:r>
        <w:rPr>
          <w:rFonts w:hint="eastAsia" w:ascii="仿宋" w:hAnsi="仿宋" w:eastAsia="仿宋" w:cs="仿宋"/>
          <w:sz w:val="32"/>
          <w:szCs w:val="32"/>
        </w:rPr>
        <w:t>万元，支出率</w:t>
      </w:r>
      <w:r>
        <w:rPr>
          <w:rFonts w:hint="eastAsia" w:ascii="仿宋" w:hAnsi="仿宋" w:eastAsia="仿宋" w:cs="仿宋"/>
          <w:sz w:val="32"/>
          <w:szCs w:val="32"/>
          <w:lang w:val="en-US" w:eastAsia="zh-CN"/>
        </w:rPr>
        <w:t>98.9</w:t>
      </w:r>
      <w:r>
        <w:rPr>
          <w:rFonts w:hint="eastAsia" w:ascii="仿宋" w:hAnsi="仿宋" w:eastAsia="仿宋" w:cs="仿宋"/>
          <w:sz w:val="32"/>
          <w:szCs w:val="32"/>
        </w:rPr>
        <w:t>%，主要用于伤残津贴发放及养老保险费代缴，资金使用符合政策规定。</w:t>
      </w:r>
    </w:p>
    <w:p w14:paraId="749AF70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三、绩效目标完成情况分析</w:t>
      </w:r>
    </w:p>
    <w:p w14:paraId="2255D72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1. 采取的措施</w:t>
      </w:r>
    </w:p>
    <w:p w14:paraId="580FC88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•动态调整机制：参照伤残津贴调整标准，结合本地经济水平，确保待遇水平与物价上涨联动。</w:t>
      </w:r>
    </w:p>
    <w:p w14:paraId="60BA67A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•精准资格审核：建立伤残人员信息档案，联合医保、税务部门核实参保状态，确保补助对象准确性。</w:t>
      </w:r>
    </w:p>
    <w:p w14:paraId="7D1D5A3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•数字化管理：通过社保系统实时跟踪资金发放进度，实现按月足额拨付。</w:t>
      </w:r>
    </w:p>
    <w:p w14:paraId="3EE0149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•政策宣传：通过线上线下渠道普及伤残津贴政策，解答改制企业职工疑问。</w:t>
      </w:r>
    </w:p>
    <w:p w14:paraId="402A1F6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2. 项目产出分析</w:t>
      </w:r>
    </w:p>
    <w:p w14:paraId="12711F7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•实际完成率：实际发放伤残津贴及代缴社保费覆盖3人，完成计划的100%（实际产出数/计划产出数×100%）。</w:t>
      </w:r>
    </w:p>
    <w:p w14:paraId="4EE0D4B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•完成及时率：资金按月发放，完成及时率100%（计划完成时间-实际完成时间为0）。</w:t>
      </w:r>
    </w:p>
    <w:p w14:paraId="6B6F7A2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•质量达标率：资格审核准确率100%，资金发放零差错（质量达标产出数/实际产出数×100%）。</w:t>
      </w:r>
    </w:p>
    <w:p w14:paraId="1A596D9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•成本节约率：通过优化流程降低行政成本，成本节约率1</w:t>
      </w:r>
      <w:r>
        <w:rPr>
          <w:rFonts w:hint="eastAsia" w:ascii="仿宋" w:hAnsi="仿宋" w:eastAsia="仿宋" w:cs="仿宋"/>
          <w:sz w:val="32"/>
          <w:szCs w:val="32"/>
          <w:lang w:val="en-US" w:eastAsia="zh-CN"/>
        </w:rPr>
        <w:t>.1</w:t>
      </w:r>
      <w:r>
        <w:rPr>
          <w:rFonts w:hint="eastAsia" w:ascii="仿宋" w:hAnsi="仿宋" w:eastAsia="仿宋" w:cs="仿宋"/>
          <w:sz w:val="32"/>
          <w:szCs w:val="32"/>
        </w:rPr>
        <w:t>%（计划成本-实际成本/计划成本×100%）。</w:t>
      </w:r>
    </w:p>
    <w:p w14:paraId="0E869D7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3. 项目效益分析</w:t>
      </w:r>
    </w:p>
    <w:p w14:paraId="1B5FDD3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•经济效益：户均年增收</w:t>
      </w:r>
      <w:r>
        <w:rPr>
          <w:rFonts w:hint="eastAsia" w:ascii="仿宋" w:hAnsi="仿宋" w:eastAsia="仿宋" w:cs="仿宋"/>
          <w:sz w:val="32"/>
          <w:szCs w:val="32"/>
          <w:lang w:val="en-US" w:eastAsia="zh-CN"/>
        </w:rPr>
        <w:t>3.3</w:t>
      </w:r>
      <w:r>
        <w:rPr>
          <w:rFonts w:hint="eastAsia" w:ascii="仿宋" w:hAnsi="仿宋" w:eastAsia="仿宋" w:cs="仿宋"/>
          <w:sz w:val="32"/>
          <w:szCs w:val="32"/>
        </w:rPr>
        <w:t>万元，有效缓解家庭养老负担。</w:t>
      </w:r>
    </w:p>
    <w:p w14:paraId="5BEC312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•社会效益：参保群体满意度达95%，未发生因待遇问题引发的上访事件。</w:t>
      </w:r>
    </w:p>
    <w:p w14:paraId="4BD5124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•可持续影响：推动改制企业历史遗留问题解决，为同类项目提供经验借鉴。</w:t>
      </w:r>
    </w:p>
    <w:p w14:paraId="0598613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•满意度：100%伤残人员认可补助政策。</w:t>
      </w:r>
    </w:p>
    <w:p w14:paraId="070DF08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四、自评结论</w:t>
      </w:r>
    </w:p>
    <w:p w14:paraId="4BB6F0B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项目实施成效显著，资金使用规范，政策落实到位，达到预期目标。</w:t>
      </w:r>
    </w:p>
    <w:p w14:paraId="7E1C323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综合得分：</w:t>
      </w:r>
      <w:r>
        <w:rPr>
          <w:rFonts w:hint="eastAsia" w:ascii="仿宋" w:hAnsi="仿宋" w:eastAsia="仿宋" w:cs="仿宋"/>
          <w:sz w:val="32"/>
          <w:szCs w:val="32"/>
          <w:lang w:val="en-US" w:eastAsia="zh-CN"/>
        </w:rPr>
        <w:t>99.89</w:t>
      </w:r>
      <w:r>
        <w:rPr>
          <w:rFonts w:hint="eastAsia" w:ascii="仿宋" w:hAnsi="仿宋" w:eastAsia="仿宋" w:cs="仿宋"/>
          <w:sz w:val="32"/>
          <w:szCs w:val="32"/>
        </w:rPr>
        <w:t>分（满分100分），评价等级为优秀</w:t>
      </w:r>
      <w:r>
        <w:rPr>
          <w:rFonts w:hint="eastAsia" w:ascii="仿宋" w:hAnsi="仿宋" w:eastAsia="仿宋" w:cs="仿宋"/>
          <w:sz w:val="32"/>
          <w:szCs w:val="32"/>
          <w:lang w:eastAsia="zh-CN"/>
        </w:rPr>
        <w:t>。</w:t>
      </w:r>
    </w:p>
    <w:p w14:paraId="2391544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经验总结如下：</w:t>
      </w:r>
    </w:p>
    <w:p w14:paraId="4F69770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1.建立动态调整机制，确保待遇与经济发展同步；</w:t>
      </w:r>
    </w:p>
    <w:p w14:paraId="4477AAB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.依托数字化平台提升资金监管效率；</w:t>
      </w:r>
    </w:p>
    <w:p w14:paraId="6BB3F73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.加强部门协同，实现信息共享与精准帮扶。</w:t>
      </w:r>
    </w:p>
    <w:p w14:paraId="7923316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五、存在的问题</w:t>
      </w:r>
    </w:p>
    <w:p w14:paraId="4C00E40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1.部分改制企业职工对政策细节理解不足；</w:t>
      </w:r>
    </w:p>
    <w:p w14:paraId="212101E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.伤残津贴与养老保险待遇衔接机制需进一步完善；</w:t>
      </w:r>
    </w:p>
    <w:p w14:paraId="10BA2DF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.基层经办人员对特殊群体政策培训不足。</w:t>
      </w:r>
    </w:p>
    <w:p w14:paraId="58B2F1E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黑体" w:hAnsi="黑体" w:eastAsia="黑体" w:cs="黑体"/>
          <w:sz w:val="32"/>
          <w:szCs w:val="32"/>
        </w:rPr>
        <w:t>六、下一步工作计划</w:t>
      </w:r>
    </w:p>
    <w:p w14:paraId="5971682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.开展“政策上门”专项服务，针对改制企业职工进行一对一解读；</w:t>
      </w:r>
    </w:p>
    <w:p w14:paraId="3A03F0D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.推动伤残津贴与养老保险待遇的信息互通，优化衔接流程；</w:t>
      </w:r>
    </w:p>
    <w:p w14:paraId="11DB19E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.组织基层经办人员业务培训，强化特殊群体服务能力。</w:t>
      </w:r>
    </w:p>
    <w:p w14:paraId="4C31167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七、意见建议</w:t>
      </w:r>
    </w:p>
    <w:p w14:paraId="146F732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.建议上级财政对改制企业历史遗留问题加大资金支持；</w:t>
      </w:r>
    </w:p>
    <w:p w14:paraId="413D231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rPr>
        <w:t>.探索多层次保障模式，提升伤</w:t>
      </w:r>
      <w:bookmarkStart w:id="0" w:name="_GoBack"/>
      <w:bookmarkEnd w:id="0"/>
      <w:r>
        <w:rPr>
          <w:rFonts w:hint="eastAsia" w:ascii="仿宋" w:hAnsi="仿宋" w:eastAsia="仿宋" w:cs="仿宋"/>
          <w:sz w:val="32"/>
          <w:szCs w:val="32"/>
        </w:rPr>
        <w:t>残人员保障水平</w:t>
      </w:r>
      <w:r>
        <w:rPr>
          <w:rFonts w:hint="eastAsia" w:ascii="仿宋" w:hAnsi="仿宋" w:eastAsia="仿宋" w:cs="仿宋"/>
          <w:sz w:val="32"/>
          <w:szCs w:val="32"/>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DB3182"/>
    <w:rsid w:val="014B0BDA"/>
    <w:rsid w:val="02CF7222"/>
    <w:rsid w:val="107746F9"/>
    <w:rsid w:val="25A65E1D"/>
    <w:rsid w:val="2EDB3182"/>
    <w:rsid w:val="2FAA2E08"/>
    <w:rsid w:val="475E2707"/>
    <w:rsid w:val="4BF209D6"/>
    <w:rsid w:val="4D0F7484"/>
    <w:rsid w:val="51FA67BD"/>
    <w:rsid w:val="53DA79CE"/>
    <w:rsid w:val="5B283720"/>
    <w:rsid w:val="6A7375B0"/>
    <w:rsid w:val="72BC640D"/>
    <w:rsid w:val="72EE39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1425</Words>
  <Characters>1542</Characters>
  <Lines>0</Lines>
  <Paragraphs>0</Paragraphs>
  <TotalTime>1</TotalTime>
  <ScaleCrop>false</ScaleCrop>
  <LinksUpToDate>false</LinksUpToDate>
  <CharactersWithSpaces>1545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2025-03-25T03:22:00Z</dcterms:created>
  <dc:creator>Administrator</dc:creator>
  <cp:lastModifiedBy>Administrator</cp:lastModifiedBy>
  <dcterms:modified xsi:type="dcterms:W3CDTF">2025-03-26T03:12:10Z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D45B24EB2603464AB38F4A2E68197538_11</vt:lpwstr>
  </property>
  <property fmtid="{D5CDD505-2E9C-101B-9397-08002B2CF9AE}" pid="4" name="KSOTemplateDocerSaveRecord">
    <vt:lpwstr>eyJoZGlkIjoiNmNjMjMzYThjNWUyNWI5M2QxNzIzZGM4ODE0N2Y0MmUifQ==</vt:lpwstr>
  </property>
</Properties>
</file>